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研修项目整体安排</w:t>
      </w:r>
    </w:p>
    <w:tbl>
      <w:tblPr>
        <w:tblStyle w:val="2"/>
        <w:tblpPr w:leftFromText="180" w:rightFromText="180" w:vertAnchor="text" w:horzAnchor="page" w:tblpXSpec="center" w:tblpY="350"/>
        <w:tblOverlap w:val="never"/>
        <w:tblW w:w="10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378"/>
        <w:gridCol w:w="2776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举办时间和地点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智能制造关键技术校企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跟岗实践高级研修班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2024年7月7-13日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江苏省无锡市、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苏州市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江苏信息职业技术学院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苏州德创测控科技有限公司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北京精雕科技集团有限公司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职业教育教学成果奖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培育、凝练及申报指导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2024年7月14-18日</w:t>
            </w:r>
          </w:p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浙江省金华市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金华职业技术学院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职业教育现场工程师人才培养高级研修班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2024年7月15-18日</w:t>
            </w:r>
          </w:p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陕西省咸阳市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本科层次职业教育办学实践高级研修班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2024年7月18-20日</w:t>
            </w:r>
          </w:p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吉林省长春市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长春汽车职业技术大学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高档数控机床标杆企业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访学高级研修班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2024年7月23-26日河北省秦皇岛市</w:t>
            </w:r>
          </w:p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北京市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机械行业FANUC先进制造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人才培养联盟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北京发那科机电有限公司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中信戴卡股份有限公司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装备制造类专业数字化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教学能力提升高级研修班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2024年8月24日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线上培训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7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汽车领域关键技术企业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跟岗实践高级研修班</w:t>
            </w:r>
          </w:p>
        </w:tc>
        <w:tc>
          <w:tcPr>
            <w:tcW w:w="2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2024年7-8月</w:t>
            </w:r>
          </w:p>
          <w:p>
            <w:pPr>
              <w:spacing w:line="560" w:lineRule="exact"/>
              <w:jc w:val="center"/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天津市</w:t>
            </w:r>
          </w:p>
        </w:tc>
        <w:tc>
          <w:tcPr>
            <w:tcW w:w="39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天津市硕恒科技发展有限公司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天津市岳华科技有限公司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天津市西青区岳华职业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培训学校</w:t>
            </w:r>
          </w:p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北京行健厚德汽车技术研究院</w:t>
            </w:r>
          </w:p>
        </w:tc>
      </w:tr>
    </w:tbl>
    <w:p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46423D95"/>
    <w:rsid w:val="464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2024-06-14T02:00:00Z</dcterms:created>
  <dc:creator>李晓玫</dc:creator>
  <cp:lastModifiedBy>李晓玫</cp:lastModifiedBy>
  <dcterms:modified xsi:type="dcterms:W3CDTF">2024-06-14T02:00:15Z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0B83B4D5DE624CFC83F582DF447D4A21_11</vt:lpwstr>
  </property>
</Properties>
</file>