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/>
    <w:p/>
    <w:p/>
    <w:p>
      <w:pPr>
        <w:tabs>
          <w:tab w:val="left" w:pos="6105"/>
        </w:tabs>
      </w:pPr>
      <w:r>
        <w:tab/>
      </w:r>
    </w:p>
    <w:p/>
    <w:p/>
    <w:p/>
    <w:p/>
    <w:p/>
    <w:p/>
    <w:p/>
    <w:p/>
    <w:p/>
    <w:p>
      <w:pPr>
        <w:rPr>
          <w:color w:val="000000" w:themeColor="text1"/>
        </w:rPr>
      </w:pP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eastAsia="微软雅黑" w:cs="Arial"/>
          <w:color w:val="000000" w:themeColor="text1"/>
          <w:sz w:val="36"/>
          <w:szCs w:val="36"/>
          <w:lang w:eastAsia="zh-CN"/>
        </w:rPr>
        <w:t>2021-2022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年度机械行业职业</w:t>
      </w:r>
      <w:r>
        <w:rPr>
          <w:rFonts w:hint="eastAsia" w:eastAsia="微软雅黑" w:cs="Arial"/>
          <w:color w:val="000000" w:themeColor="text1"/>
          <w:sz w:val="36"/>
          <w:szCs w:val="36"/>
          <w:lang w:val="en-US" w:eastAsia="zh-CN"/>
        </w:rPr>
        <w:t>教育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技能大赛</w:t>
      </w: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“爱夫卡杯”</w:t>
      </w:r>
      <w:r>
        <w:rPr>
          <w:rFonts w:eastAsia="微软雅黑" w:cs="Arial"/>
          <w:color w:val="000000" w:themeColor="text1"/>
          <w:sz w:val="36"/>
          <w:szCs w:val="36"/>
          <w:lang w:eastAsia="zh-CN"/>
        </w:rPr>
        <w:t xml:space="preserve"> 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智能网联•车路协同技术赛项</w:t>
      </w:r>
      <w:r>
        <w:rPr>
          <w:rFonts w:eastAsia="微软雅黑" w:cs="Arial"/>
          <w:color w:val="000000" w:themeColor="text1"/>
          <w:sz w:val="36"/>
          <w:szCs w:val="36"/>
          <w:lang w:eastAsia="zh-CN"/>
        </w:rPr>
        <w:t>_选手作业单</w:t>
      </w: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eastAsia="微软雅黑" w:cs="Arial"/>
          <w:color w:val="000000" w:themeColor="text1"/>
          <w:sz w:val="36"/>
          <w:szCs w:val="36"/>
          <w:lang w:eastAsia="zh-CN"/>
        </w:rPr>
        <w:t xml:space="preserve">任务1 _ 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车载传感器装调</w:t>
      </w:r>
    </w:p>
    <w:p>
      <w:pPr>
        <w:pStyle w:val="23"/>
        <w:rPr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spacing w:line="360" w:lineRule="auto"/>
        <w:ind w:firstLine="560" w:firstLineChars="200"/>
        <w:rPr>
          <w:szCs w:val="28"/>
          <w:lang w:eastAsia="zh-CN"/>
        </w:rPr>
      </w:pPr>
      <w:r>
        <w:rPr>
          <w:szCs w:val="28"/>
          <w:lang w:eastAsia="zh-CN"/>
        </w:rPr>
        <w:t>编写:</w:t>
      </w:r>
    </w:p>
    <w:p>
      <w:pPr>
        <w:pStyle w:val="24"/>
        <w:spacing w:line="360" w:lineRule="auto"/>
        <w:ind w:firstLine="560" w:firstLineChars="200"/>
        <w:rPr>
          <w:szCs w:val="28"/>
          <w:lang w:eastAsia="zh-CN"/>
        </w:rPr>
      </w:pPr>
      <w:r>
        <w:rPr>
          <w:szCs w:val="28"/>
          <w:lang w:eastAsia="zh-CN"/>
        </w:rPr>
        <w:t>赛项专家组</w:t>
      </w:r>
    </w:p>
    <w:p>
      <w:pPr>
        <w:spacing w:line="360" w:lineRule="auto"/>
        <w:ind w:firstLine="560" w:firstLineChars="200"/>
        <w:rPr>
          <w:rFonts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2</w:t>
      </w:r>
      <w:r>
        <w:rPr>
          <w:rFonts w:eastAsiaTheme="minorEastAsia"/>
          <w:sz w:val="28"/>
          <w:szCs w:val="28"/>
          <w:lang w:eastAsia="zh-CN"/>
        </w:rPr>
        <w:t>021</w:t>
      </w:r>
      <w:r>
        <w:rPr>
          <w:rFonts w:hint="eastAsia" w:eastAsiaTheme="minorEastAsia"/>
          <w:sz w:val="28"/>
          <w:szCs w:val="28"/>
          <w:lang w:eastAsia="zh-CN"/>
        </w:rPr>
        <w:t>年1</w:t>
      </w:r>
      <w:r>
        <w:rPr>
          <w:rFonts w:eastAsiaTheme="minorEastAsia"/>
          <w:sz w:val="28"/>
          <w:szCs w:val="28"/>
          <w:lang w:eastAsia="zh-CN"/>
        </w:rPr>
        <w:t>0</w:t>
      </w:r>
      <w:r>
        <w:rPr>
          <w:rFonts w:hint="eastAsia" w:eastAsiaTheme="minorEastAsia"/>
          <w:sz w:val="28"/>
          <w:szCs w:val="28"/>
          <w:lang w:eastAsia="zh-CN"/>
        </w:rPr>
        <w:t>月</w:t>
      </w:r>
    </w:p>
    <w:p>
      <w:pPr>
        <w:pStyle w:val="33"/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134" w:bottom="2268" w:left="1134" w:header="567" w:footer="284" w:gutter="0"/>
          <w:cols w:space="720" w:num="1"/>
          <w:docGrid w:linePitch="360" w:charSpace="0"/>
        </w:sectPr>
      </w:pPr>
    </w:p>
    <w:tbl>
      <w:tblPr>
        <w:tblStyle w:val="14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992"/>
        <w:gridCol w:w="2835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01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ascii="Times New Roman" w:hAnsi="Times New Roman" w:eastAsia="宋体"/>
                <w:b w:val="0"/>
              </w:rPr>
            </w:pPr>
            <w:r>
              <w:rPr>
                <w:rFonts w:ascii="Times New Roman" w:hAnsi="Times New Roman" w:eastAsia="宋体"/>
                <w:b w:val="0"/>
                <w:u w:val="none"/>
                <w:lang w:eastAsia="zh-CN"/>
              </w:rPr>
              <w:t>选手参赛号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工位号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轮次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竞赛日期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竞赛用时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</w:p>
        </w:tc>
        <w:tc>
          <w:tcPr>
            <w:tcW w:w="992" w:type="dxa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>年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 xml:space="preserve">月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 xml:space="preserve"> 日</w:t>
            </w:r>
          </w:p>
        </w:tc>
        <w:tc>
          <w:tcPr>
            <w:tcW w:w="1694" w:type="dxa"/>
            <w:vAlign w:val="center"/>
          </w:tcPr>
          <w:p>
            <w:pPr>
              <w:wordWrap w:val="0"/>
              <w:jc w:val="right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分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 xml:space="preserve">    秒   </w:t>
            </w:r>
          </w:p>
        </w:tc>
      </w:tr>
    </w:tbl>
    <w:p>
      <w:pPr>
        <w:rPr>
          <w:sz w:val="28"/>
          <w:szCs w:val="28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  <w:lang w:eastAsia="zh-CN"/>
              </w:rPr>
            </w:pPr>
            <w:r>
              <w:rPr>
                <w:rFonts w:hint="eastAsia" w:eastAsia="宋体"/>
                <w:sz w:val="30"/>
                <w:szCs w:val="30"/>
                <w:lang w:eastAsia="zh-CN"/>
              </w:rPr>
              <w:t>选手操作任务说明</w:t>
            </w:r>
          </w:p>
        </w:tc>
      </w:tr>
    </w:tbl>
    <w:p>
      <w:pPr>
        <w:rPr>
          <w:sz w:val="24"/>
          <w:lang w:eastAsia="zh-CN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Times New Roman" w:hAnsi="Times New Roman" w:eastAsia="宋体"/>
                <w:sz w:val="30"/>
                <w:szCs w:val="30"/>
                <w:lang w:eastAsia="zh-CN"/>
              </w:rPr>
              <w:t>任务1 _</w:t>
            </w:r>
            <w:r>
              <w:rPr>
                <w:rFonts w:hint="eastAsia" w:ascii="Times New Roman" w:hAnsi="Times New Roman" w:eastAsia="宋体"/>
                <w:sz w:val="30"/>
                <w:szCs w:val="30"/>
                <w:lang w:eastAsia="zh-CN"/>
              </w:rPr>
              <w:t>车载传感器装调</w:t>
            </w:r>
          </w:p>
        </w:tc>
      </w:tr>
    </w:tbl>
    <w:p>
      <w:pPr>
        <w:rPr>
          <w:sz w:val="24"/>
          <w:lang w:eastAsia="zh-CN"/>
        </w:rPr>
      </w:pPr>
    </w:p>
    <w:tbl>
      <w:tblPr>
        <w:tblStyle w:val="1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4253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检查工具和仪表完整性</w:t>
            </w:r>
          </w:p>
        </w:tc>
        <w:tc>
          <w:tcPr>
            <w:tcW w:w="4536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3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比赛操作时间</w:t>
            </w:r>
          </w:p>
        </w:tc>
        <w:tc>
          <w:tcPr>
            <w:tcW w:w="4536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60分钟</w:t>
            </w:r>
          </w:p>
        </w:tc>
      </w:tr>
    </w:tbl>
    <w:p>
      <w:pPr>
        <w:rPr>
          <w:sz w:val="24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6791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gridSpan w:val="3"/>
            <w:vAlign w:val="center"/>
          </w:tcPr>
          <w:p>
            <w:pPr>
              <w:pStyle w:val="7"/>
              <w:spacing w:before="0" w:after="0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任务1 各项操作内容及分数分布（满分100，占总分50%）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2" w:type="dxa"/>
            <w:gridSpan w:val="2"/>
            <w:vAlign w:val="center"/>
          </w:tcPr>
          <w:p>
            <w:pPr>
              <w:pStyle w:val="6"/>
              <w:jc w:val="center"/>
              <w:rPr>
                <w:rFonts w:eastAsia="宋体"/>
                <w:b w:val="0"/>
                <w:i w:val="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zCs w:val="24"/>
                <w:lang w:eastAsia="zh-CN"/>
              </w:rPr>
              <w:t>工作内容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最高分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对车辆外观件，车辆内饰件，车辆操作面板、车辆电池电量、车辆前舱线束、前舱部件安装稳固性等检查，并对发现的问题进行记录和修复。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1</w:t>
            </w:r>
            <w:r>
              <w:rPr>
                <w:rFonts w:eastAsia="宋体"/>
                <w:sz w:val="24"/>
                <w:lang w:eastAsia="zh-CN"/>
              </w:rPr>
              <w:t>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03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利用专业工具，在车辆合适位置，安装并固定摄像头，利用标定板和专业软件对摄像头的参数标定，记录标定数据，调取摄像头报文数据，验证安装是否成功。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</w:t>
            </w:r>
            <w:r>
              <w:rPr>
                <w:rFonts w:hint="eastAsia" w:eastAsia="宋体"/>
                <w:sz w:val="24"/>
                <w:lang w:eastAsia="zh-CN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利用专业工具，由现场裁判指定车辆前部任一毫米波雷达进行安装，使用锥桶和专业软件对毫米波雷达进行测试验证，记录测量数据，调取毫米波雷达报文数据，验证安装是否成功。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调取激光雷达点云图像和报文数据，判断车载激光雷达通信是否正常，如不正常，找出故障点，根据现场裁判要求进行修复。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调取导航定位系统报文数据，判断导航定位系统通信是否正常，如不正常，找出故障点，根据现场裁判要求进行修复。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任务实施过程中，需遵守职业健康与素养，以及现场管理规章制度等。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gridSpan w:val="3"/>
            <w:vAlign w:val="center"/>
          </w:tcPr>
          <w:p>
            <w:pPr>
              <w:pStyle w:val="6"/>
              <w:spacing w:before="0" w:after="0"/>
              <w:jc w:val="center"/>
              <w:rPr>
                <w:i w:val="0"/>
                <w:sz w:val="32"/>
                <w:szCs w:val="32"/>
              </w:rPr>
            </w:pPr>
            <w:r>
              <w:rPr>
                <w:rFonts w:hint="eastAsia" w:eastAsia="宋体"/>
                <w:b w:val="0"/>
                <w:i w:val="0"/>
                <w:sz w:val="32"/>
                <w:szCs w:val="32"/>
                <w:lang w:eastAsia="zh-CN"/>
              </w:rPr>
              <w:t>检测报告单</w:t>
            </w:r>
          </w:p>
        </w:tc>
      </w:tr>
    </w:tbl>
    <w:p>
      <w:pPr>
        <w:spacing w:before="360" w:beforeLines="150"/>
        <w:rPr>
          <w:rFonts w:ascii="宋体" w:hAnsi="宋体" w:eastAsia="宋体"/>
          <w:bCs/>
          <w:sz w:val="24"/>
          <w:lang w:eastAsia="zh-CN"/>
        </w:rPr>
      </w:pPr>
      <w:r>
        <w:rPr>
          <w:rFonts w:hint="eastAsia" w:ascii="宋体" w:hAnsi="宋体" w:eastAsia="宋体"/>
          <w:b/>
          <w:sz w:val="24"/>
          <w:lang w:eastAsia="zh-CN"/>
        </w:rPr>
        <w:t>1.车辆预检</w:t>
      </w:r>
      <w:r>
        <w:rPr>
          <w:rFonts w:hint="eastAsia" w:ascii="宋体" w:hAnsi="宋体" w:eastAsia="宋体"/>
          <w:bCs/>
          <w:sz w:val="24"/>
          <w:lang w:eastAsia="zh-CN"/>
        </w:rPr>
        <w:t>（只记录车辆问题处）</w:t>
      </w: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1" w:hRule="atLeast"/>
        </w:trPr>
        <w:tc>
          <w:tcPr>
            <w:tcW w:w="354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lang w:eastAsia="zh-CN"/>
              </w:rPr>
              <w:t>部件名称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lang w:eastAsia="zh-CN"/>
              </w:rPr>
              <w:t>问题或缺陷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/>
                <w:color w:val="FF0000"/>
                <w:sz w:val="24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rFonts w:ascii="Times New Roman" w:hAnsi="Times New Roman"/>
                <w:color w:val="FF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FF0000"/>
                <w:sz w:val="24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jc w:val="both"/>
              <w:rPr>
                <w:rFonts w:eastAsia="宋体"/>
                <w:color w:val="FF0000"/>
                <w:sz w:val="22"/>
                <w:szCs w:val="22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sz w:val="22"/>
                <w:szCs w:val="22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仿宋" w:hAnsi="仿宋" w:eastAsia="仿宋"/>
          <w:b/>
          <w:bCs/>
          <w:kern w:val="2"/>
          <w:sz w:val="24"/>
          <w:lang w:eastAsia="zh-CN"/>
        </w:rPr>
      </w:pPr>
    </w:p>
    <w:p>
      <w:pPr>
        <w:widowControl w:val="0"/>
        <w:jc w:val="both"/>
        <w:rPr>
          <w:rFonts w:ascii="宋体" w:hAnsi="宋体" w:eastAsia="宋体"/>
          <w:b/>
          <w:bCs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kern w:val="2"/>
          <w:sz w:val="24"/>
          <w:lang w:eastAsia="zh-CN"/>
        </w:rPr>
        <w:t>2.摄像头设置参数记录</w:t>
      </w:r>
      <w:r>
        <w:rPr>
          <w:rFonts w:hint="eastAsia" w:ascii="宋体" w:hAnsi="宋体" w:eastAsia="宋体"/>
          <w:kern w:val="2"/>
          <w:sz w:val="24"/>
          <w:lang w:eastAsia="zh-CN"/>
        </w:rPr>
        <w:t>（软件内同步记录）</w:t>
      </w:r>
    </w:p>
    <w:tbl>
      <w:tblPr>
        <w:tblStyle w:val="1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27"/>
        <w:gridCol w:w="240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268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设备距左外轮廓（毫米）</w:t>
            </w:r>
          </w:p>
        </w:tc>
        <w:tc>
          <w:tcPr>
            <w:tcW w:w="2127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</w:p>
        </w:tc>
        <w:tc>
          <w:tcPr>
            <w:tcW w:w="2409" w:type="dxa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设备距右外轮廓（毫米）</w:t>
            </w:r>
          </w:p>
        </w:tc>
        <w:tc>
          <w:tcPr>
            <w:tcW w:w="1985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2268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焦距（像素）</w:t>
            </w:r>
          </w:p>
        </w:tc>
        <w:tc>
          <w:tcPr>
            <w:tcW w:w="2127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</w:p>
        </w:tc>
        <w:tc>
          <w:tcPr>
            <w:tcW w:w="2409" w:type="dxa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标定板下边距地面高（毫米）</w:t>
            </w:r>
          </w:p>
        </w:tc>
        <w:tc>
          <w:tcPr>
            <w:tcW w:w="1985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268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设备距车头距离（毫米）</w:t>
            </w:r>
          </w:p>
        </w:tc>
        <w:tc>
          <w:tcPr>
            <w:tcW w:w="2127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  <w:tc>
          <w:tcPr>
            <w:tcW w:w="2409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  <w:tc>
          <w:tcPr>
            <w:tcW w:w="1985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268" w:type="dxa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eastAsia="zh-CN"/>
              </w:rPr>
              <w:t>报文数据</w:t>
            </w:r>
          </w:p>
        </w:tc>
        <w:tc>
          <w:tcPr>
            <w:tcW w:w="6521" w:type="dxa"/>
            <w:gridSpan w:val="3"/>
            <w:shd w:val="clear" w:color="auto" w:fill="auto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仿宋" w:hAnsi="仿宋" w:eastAsia="仿宋"/>
          <w:b/>
          <w:bCs/>
          <w:kern w:val="2"/>
          <w:sz w:val="24"/>
          <w:lang w:eastAsia="zh-CN"/>
        </w:rPr>
      </w:pPr>
    </w:p>
    <w:p>
      <w:pPr>
        <w:widowControl w:val="0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3.</w:t>
      </w:r>
      <w:r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  <w:t>(1)</w:t>
      </w: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毫米波雷达检测目标结果</w:t>
      </w:r>
      <w:r>
        <w:rPr>
          <w:rFonts w:hint="eastAsia" w:ascii="宋体" w:hAnsi="宋体" w:eastAsia="宋体"/>
          <w:color w:val="000000"/>
          <w:kern w:val="2"/>
          <w:sz w:val="24"/>
          <w:lang w:eastAsia="zh-CN"/>
        </w:rPr>
        <w:t>（记录低于1m范围内ID值）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2424"/>
        <w:gridCol w:w="1789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ID</w:t>
            </w:r>
          </w:p>
        </w:tc>
        <w:tc>
          <w:tcPr>
            <w:tcW w:w="1701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R</w:t>
            </w: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ange（m）</w:t>
            </w:r>
          </w:p>
        </w:tc>
        <w:tc>
          <w:tcPr>
            <w:tcW w:w="242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R</w:t>
            </w: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angeRate（m/</w:t>
            </w: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s）</w:t>
            </w:r>
          </w:p>
        </w:tc>
        <w:tc>
          <w:tcPr>
            <w:tcW w:w="1789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Power(d</w:t>
            </w: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B</w:t>
            </w: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m</w:t>
            </w: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)</w:t>
            </w:r>
          </w:p>
        </w:tc>
        <w:tc>
          <w:tcPr>
            <w:tcW w:w="1790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A</w:t>
            </w: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zlmuth(deg)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01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42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89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90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01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42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89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1790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</w:p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(</w:t>
      </w:r>
      <w:r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  <w:t>2)</w:t>
      </w: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在毫米波雷达前方垂直位置，且距离3m处放置锥桶进行距离检测验证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2268"/>
        <w:gridCol w:w="2268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序号</w:t>
            </w:r>
          </w:p>
        </w:tc>
        <w:tc>
          <w:tcPr>
            <w:tcW w:w="1275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雷达编号</w:t>
            </w:r>
          </w:p>
        </w:tc>
        <w:tc>
          <w:tcPr>
            <w:tcW w:w="2268" w:type="dxa"/>
          </w:tcPr>
          <w:p>
            <w:pPr>
              <w:widowControl w:val="0"/>
              <w:jc w:val="center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测量标准（m）</w:t>
            </w:r>
          </w:p>
        </w:tc>
        <w:tc>
          <w:tcPr>
            <w:tcW w:w="226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实际测量结果（m）</w:t>
            </w:r>
          </w:p>
        </w:tc>
        <w:tc>
          <w:tcPr>
            <w:tcW w:w="203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结果判断（Y/</w:t>
            </w:r>
            <w:r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  <w:t>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1</w:t>
            </w:r>
          </w:p>
        </w:tc>
        <w:tc>
          <w:tcPr>
            <w:tcW w:w="1275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S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SR</w:t>
            </w: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中</w:t>
            </w:r>
          </w:p>
        </w:tc>
        <w:tc>
          <w:tcPr>
            <w:tcW w:w="2268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3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u w:val="single"/>
                <w:lang w:eastAsia="zh-CN"/>
              </w:rPr>
              <w:t>+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0.16</w:t>
            </w:r>
          </w:p>
        </w:tc>
        <w:tc>
          <w:tcPr>
            <w:tcW w:w="226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03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2</w:t>
            </w:r>
          </w:p>
        </w:tc>
        <w:tc>
          <w:tcPr>
            <w:tcW w:w="1275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SSR</w:t>
            </w: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左</w:t>
            </w:r>
          </w:p>
        </w:tc>
        <w:tc>
          <w:tcPr>
            <w:tcW w:w="2268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3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u w:val="single"/>
                <w:lang w:eastAsia="zh-CN"/>
              </w:rPr>
              <w:t>+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0.16</w:t>
            </w:r>
          </w:p>
        </w:tc>
        <w:tc>
          <w:tcPr>
            <w:tcW w:w="226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03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3</w:t>
            </w:r>
          </w:p>
        </w:tc>
        <w:tc>
          <w:tcPr>
            <w:tcW w:w="1275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SSR</w:t>
            </w: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右</w:t>
            </w:r>
          </w:p>
        </w:tc>
        <w:tc>
          <w:tcPr>
            <w:tcW w:w="2268" w:type="dxa"/>
          </w:tcPr>
          <w:p>
            <w:pPr>
              <w:widowControl w:val="0"/>
              <w:jc w:val="center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3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u w:val="single"/>
                <w:lang w:eastAsia="zh-CN"/>
              </w:rPr>
              <w:t>+</w:t>
            </w:r>
            <w:r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  <w:t>0.16</w:t>
            </w:r>
          </w:p>
        </w:tc>
        <w:tc>
          <w:tcPr>
            <w:tcW w:w="226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034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（3）其他数据记录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报文数据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</w:p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4</w:t>
      </w:r>
      <w:r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  <w:t>.</w:t>
      </w: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激光雷达功能检测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bookmarkStart w:id="0" w:name="_Hlk84895849"/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功能是否正常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故障点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故障修复后报文数据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</w:p>
        </w:tc>
      </w:tr>
      <w:bookmarkEnd w:id="0"/>
    </w:tbl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</w:p>
    <w:p>
      <w:pPr>
        <w:widowControl w:val="0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  <w:t>5</w:t>
      </w: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.导航定位系统功能检测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功能是否正常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故障点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4"/>
                <w:lang w:eastAsia="zh-CN"/>
              </w:rPr>
              <w:t>故障修复后报文数据</w:t>
            </w:r>
          </w:p>
        </w:tc>
        <w:tc>
          <w:tcPr>
            <w:tcW w:w="6428" w:type="dxa"/>
          </w:tcPr>
          <w:p>
            <w:pPr>
              <w:widowControl w:val="0"/>
              <w:jc w:val="both"/>
              <w:rPr>
                <w:rFonts w:ascii="宋体" w:hAnsi="宋体" w:eastAsia="宋体"/>
                <w:color w:val="000000"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</w:p>
    <w:p/>
    <w:p/>
    <w:p/>
    <w:p>
      <w:pPr>
        <w:tabs>
          <w:tab w:val="left" w:pos="6105"/>
        </w:tabs>
      </w:pPr>
      <w:r>
        <w:tab/>
      </w:r>
    </w:p>
    <w:p/>
    <w:p/>
    <w:p/>
    <w:p/>
    <w:p/>
    <w:p/>
    <w:p/>
    <w:p/>
    <w:p/>
    <w:p>
      <w:pPr>
        <w:rPr>
          <w:color w:val="000000" w:themeColor="text1"/>
        </w:rPr>
      </w:pP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eastAsia="微软雅黑" w:cs="Arial"/>
          <w:color w:val="000000" w:themeColor="text1"/>
          <w:sz w:val="36"/>
          <w:szCs w:val="36"/>
          <w:lang w:eastAsia="zh-CN"/>
        </w:rPr>
        <w:t>2021-2022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年度机械行业职业</w:t>
      </w:r>
      <w:r>
        <w:rPr>
          <w:rFonts w:hint="eastAsia" w:eastAsia="微软雅黑" w:cs="Arial"/>
          <w:color w:val="000000" w:themeColor="text1"/>
          <w:sz w:val="36"/>
          <w:szCs w:val="36"/>
          <w:lang w:val="en-US" w:eastAsia="zh-CN"/>
        </w:rPr>
        <w:t>教育</w:t>
      </w:r>
      <w:bookmarkStart w:id="1" w:name="_GoBack"/>
      <w:bookmarkEnd w:id="1"/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技能大赛</w:t>
      </w: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“爱夫卡杯”</w:t>
      </w:r>
      <w:r>
        <w:rPr>
          <w:rFonts w:eastAsia="微软雅黑" w:cs="Arial"/>
          <w:color w:val="000000" w:themeColor="text1"/>
          <w:sz w:val="36"/>
          <w:szCs w:val="36"/>
          <w:lang w:eastAsia="zh-CN"/>
        </w:rPr>
        <w:t xml:space="preserve"> 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智能网联•车路协同技术赛项</w:t>
      </w:r>
      <w:r>
        <w:rPr>
          <w:rFonts w:eastAsia="微软雅黑" w:cs="Arial"/>
          <w:color w:val="000000" w:themeColor="text1"/>
          <w:sz w:val="36"/>
          <w:szCs w:val="36"/>
          <w:lang w:eastAsia="zh-CN"/>
        </w:rPr>
        <w:t>_选手作业单</w:t>
      </w:r>
    </w:p>
    <w:p>
      <w:pPr>
        <w:pStyle w:val="25"/>
        <w:rPr>
          <w:rFonts w:eastAsia="微软雅黑" w:cs="Arial"/>
          <w:color w:val="000000" w:themeColor="text1"/>
          <w:sz w:val="36"/>
          <w:szCs w:val="36"/>
          <w:lang w:eastAsia="zh-CN"/>
        </w:rPr>
      </w:pPr>
      <w:r>
        <w:rPr>
          <w:rFonts w:eastAsia="微软雅黑" w:cs="Arial"/>
          <w:color w:val="000000" w:themeColor="text1"/>
          <w:sz w:val="36"/>
          <w:szCs w:val="36"/>
          <w:lang w:eastAsia="zh-CN"/>
        </w:rPr>
        <w:t xml:space="preserve">任务2 _ </w:t>
      </w:r>
      <w:r>
        <w:rPr>
          <w:rFonts w:hint="eastAsia" w:eastAsia="微软雅黑" w:cs="Arial"/>
          <w:color w:val="000000" w:themeColor="text1"/>
          <w:sz w:val="36"/>
          <w:szCs w:val="36"/>
          <w:lang w:eastAsia="zh-CN"/>
        </w:rPr>
        <w:t>车辆自主行驶路线部署</w:t>
      </w:r>
    </w:p>
    <w:p>
      <w:pPr>
        <w:pStyle w:val="23"/>
        <w:rPr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rPr>
          <w:rFonts w:eastAsiaTheme="minorEastAsia"/>
          <w:color w:val="7030A0"/>
          <w:lang w:eastAsia="zh-CN"/>
        </w:rPr>
      </w:pPr>
    </w:p>
    <w:p>
      <w:pPr>
        <w:pStyle w:val="24"/>
        <w:spacing w:line="360" w:lineRule="auto"/>
        <w:ind w:firstLine="560" w:firstLineChars="200"/>
        <w:rPr>
          <w:szCs w:val="28"/>
          <w:lang w:eastAsia="zh-CN"/>
        </w:rPr>
      </w:pPr>
      <w:r>
        <w:rPr>
          <w:szCs w:val="28"/>
          <w:lang w:eastAsia="zh-CN"/>
        </w:rPr>
        <w:t>编写:</w:t>
      </w:r>
    </w:p>
    <w:p>
      <w:pPr>
        <w:pStyle w:val="24"/>
        <w:spacing w:line="360" w:lineRule="auto"/>
        <w:ind w:firstLine="560" w:firstLineChars="200"/>
        <w:rPr>
          <w:szCs w:val="28"/>
          <w:lang w:eastAsia="zh-CN"/>
        </w:rPr>
      </w:pPr>
      <w:r>
        <w:rPr>
          <w:szCs w:val="28"/>
          <w:lang w:eastAsia="zh-CN"/>
        </w:rPr>
        <w:t>赛项专家组</w:t>
      </w:r>
    </w:p>
    <w:p>
      <w:pPr>
        <w:spacing w:line="360" w:lineRule="auto"/>
        <w:ind w:firstLine="560" w:firstLineChars="200"/>
        <w:rPr>
          <w:rFonts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2</w:t>
      </w:r>
      <w:r>
        <w:rPr>
          <w:rFonts w:eastAsiaTheme="minorEastAsia"/>
          <w:sz w:val="28"/>
          <w:szCs w:val="28"/>
          <w:lang w:eastAsia="zh-CN"/>
        </w:rPr>
        <w:t>021</w:t>
      </w:r>
      <w:r>
        <w:rPr>
          <w:rFonts w:hint="eastAsia" w:eastAsiaTheme="minorEastAsia"/>
          <w:sz w:val="28"/>
          <w:szCs w:val="28"/>
          <w:lang w:eastAsia="zh-CN"/>
        </w:rPr>
        <w:t>年1</w:t>
      </w:r>
      <w:r>
        <w:rPr>
          <w:rFonts w:eastAsiaTheme="minorEastAsia"/>
          <w:sz w:val="28"/>
          <w:szCs w:val="28"/>
          <w:lang w:eastAsia="zh-CN"/>
        </w:rPr>
        <w:t>0</w:t>
      </w:r>
      <w:r>
        <w:rPr>
          <w:rFonts w:hint="eastAsia" w:eastAsiaTheme="minorEastAsia"/>
          <w:sz w:val="28"/>
          <w:szCs w:val="28"/>
          <w:lang w:eastAsia="zh-CN"/>
        </w:rPr>
        <w:t>月</w:t>
      </w:r>
    </w:p>
    <w:p>
      <w:pPr>
        <w:pStyle w:val="33"/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  <w:sectPr>
          <w:headerReference r:id="rId8" w:type="first"/>
          <w:footerReference r:id="rId10" w:type="first"/>
          <w:headerReference r:id="rId7" w:type="default"/>
          <w:footerReference r:id="rId9" w:type="default"/>
          <w:pgSz w:w="11906" w:h="16838"/>
          <w:pgMar w:top="1702" w:right="1134" w:bottom="1985" w:left="1134" w:header="567" w:footer="284" w:gutter="0"/>
          <w:cols w:space="720" w:num="1"/>
          <w:docGrid w:linePitch="360" w:charSpace="0"/>
        </w:sectPr>
      </w:pPr>
    </w:p>
    <w:tbl>
      <w:tblPr>
        <w:tblStyle w:val="14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992"/>
        <w:gridCol w:w="2835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01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ascii="Times New Roman" w:hAnsi="Times New Roman" w:eastAsia="宋体"/>
                <w:b w:val="0"/>
              </w:rPr>
            </w:pPr>
            <w:r>
              <w:rPr>
                <w:rFonts w:ascii="Times New Roman" w:hAnsi="Times New Roman" w:eastAsia="宋体"/>
                <w:b w:val="0"/>
                <w:u w:val="none"/>
                <w:lang w:eastAsia="zh-CN"/>
              </w:rPr>
              <w:t>选手参赛号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工位号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轮次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竞赛日期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竞赛用时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</w:p>
        </w:tc>
        <w:tc>
          <w:tcPr>
            <w:tcW w:w="992" w:type="dxa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3"/>
              <w:spacing w:before="0" w:after="0"/>
              <w:jc w:val="center"/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>年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 xml:space="preserve">月 </w:t>
            </w:r>
            <w:r>
              <w:rPr>
                <w:rFonts w:ascii="Times New Roman" w:hAnsi="Times New Roman" w:eastAsia="宋体"/>
                <w:b w:val="0"/>
                <w:i w:val="0"/>
                <w:sz w:val="24"/>
                <w:u w:val="single"/>
                <w:lang w:eastAsia="zh-CN"/>
              </w:rPr>
              <w:t xml:space="preserve">      </w:t>
            </w:r>
            <w:r>
              <w:rPr>
                <w:rFonts w:hint="eastAsia" w:ascii="Times New Roman" w:hAnsi="Times New Roman" w:eastAsia="宋体"/>
                <w:b w:val="0"/>
                <w:i w:val="0"/>
                <w:sz w:val="24"/>
                <w:lang w:eastAsia="zh-CN"/>
              </w:rPr>
              <w:t>日</w:t>
            </w:r>
          </w:p>
        </w:tc>
        <w:tc>
          <w:tcPr>
            <w:tcW w:w="1694" w:type="dxa"/>
            <w:vAlign w:val="center"/>
          </w:tcPr>
          <w:p>
            <w:pPr>
              <w:wordWrap w:val="0"/>
              <w:jc w:val="right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分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 xml:space="preserve">    秒   </w:t>
            </w:r>
          </w:p>
        </w:tc>
      </w:tr>
    </w:tbl>
    <w:p>
      <w:pPr>
        <w:rPr>
          <w:sz w:val="28"/>
          <w:szCs w:val="28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  <w:lang w:eastAsia="zh-CN"/>
              </w:rPr>
            </w:pPr>
            <w:r>
              <w:rPr>
                <w:rFonts w:hint="eastAsia" w:eastAsia="宋体"/>
                <w:sz w:val="30"/>
                <w:szCs w:val="30"/>
                <w:lang w:eastAsia="zh-CN"/>
              </w:rPr>
              <w:t>选手操作任务说明</w:t>
            </w:r>
          </w:p>
        </w:tc>
      </w:tr>
    </w:tbl>
    <w:p>
      <w:pPr>
        <w:rPr>
          <w:sz w:val="24"/>
          <w:lang w:eastAsia="zh-CN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Times New Roman" w:hAnsi="Times New Roman" w:eastAsia="宋体"/>
                <w:sz w:val="30"/>
                <w:szCs w:val="30"/>
                <w:lang w:eastAsia="zh-CN"/>
              </w:rPr>
              <w:t>任务1 _</w:t>
            </w:r>
            <w:r>
              <w:rPr>
                <w:rFonts w:hint="eastAsia" w:ascii="Times New Roman" w:hAnsi="Times New Roman" w:eastAsia="宋体"/>
                <w:sz w:val="30"/>
                <w:szCs w:val="30"/>
                <w:lang w:eastAsia="zh-CN"/>
              </w:rPr>
              <w:t>车辆自主行驶路线部署</w:t>
            </w:r>
          </w:p>
        </w:tc>
      </w:tr>
    </w:tbl>
    <w:p>
      <w:pPr>
        <w:rPr>
          <w:sz w:val="24"/>
          <w:lang w:eastAsia="zh-CN"/>
        </w:rPr>
      </w:pPr>
    </w:p>
    <w:tbl>
      <w:tblPr>
        <w:tblStyle w:val="1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3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确认车辆行驶线路和停车站点</w:t>
            </w:r>
          </w:p>
        </w:tc>
        <w:tc>
          <w:tcPr>
            <w:tcW w:w="4536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2分钟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3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ascii="Times New Roman" w:hAnsi="Times New Roman" w:eastAsia="宋体"/>
                <w:sz w:val="24"/>
                <w:lang w:eastAsia="zh-CN"/>
              </w:rPr>
              <w:t>比赛操作时间</w:t>
            </w:r>
          </w:p>
        </w:tc>
        <w:tc>
          <w:tcPr>
            <w:tcW w:w="4536" w:type="dxa"/>
            <w:vAlign w:val="center"/>
          </w:tcPr>
          <w:p>
            <w:pPr>
              <w:ind w:left="200" w:leftChars="100"/>
              <w:jc w:val="both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60分钟</w:t>
            </w:r>
          </w:p>
        </w:tc>
      </w:tr>
    </w:tbl>
    <w:p>
      <w:pPr>
        <w:rPr>
          <w:sz w:val="24"/>
        </w:rPr>
      </w:pP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6791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gridSpan w:val="3"/>
            <w:vAlign w:val="center"/>
          </w:tcPr>
          <w:p>
            <w:pPr>
              <w:pStyle w:val="7"/>
              <w:spacing w:before="0" w:after="0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任务1 各项操作内容及分数分布（满分100，占总分50%）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2" w:type="dxa"/>
            <w:gridSpan w:val="2"/>
            <w:vAlign w:val="center"/>
          </w:tcPr>
          <w:p>
            <w:pPr>
              <w:pStyle w:val="6"/>
              <w:jc w:val="center"/>
              <w:rPr>
                <w:rFonts w:eastAsia="宋体"/>
                <w:b w:val="0"/>
                <w:i w:val="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zCs w:val="24"/>
                <w:lang w:eastAsia="zh-CN"/>
              </w:rPr>
              <w:t>工作内容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最高分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对车辆外观件、悬架系统、制动系统、电池电量、遥控手柄功能和电量等进行基本功能和状态检查，并记录异常状况或数据。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1</w:t>
            </w:r>
            <w:r>
              <w:rPr>
                <w:rFonts w:eastAsia="宋体"/>
                <w:sz w:val="24"/>
                <w:lang w:eastAsia="zh-CN"/>
              </w:rPr>
              <w:t>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选手使用遥控手柄，操作车辆完成运行线路的地图采集。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3</w:t>
            </w:r>
            <w:r>
              <w:rPr>
                <w:rFonts w:hint="eastAsia" w:eastAsia="宋体"/>
                <w:sz w:val="24"/>
                <w:lang w:eastAsia="zh-CN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选手使用专用软件系统，对车辆自动行驶线路进行处理，确认车辆行驶轨迹以及停车站点等。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 w:ascii="等线" w:hAnsi="等线" w:eastAsia="等线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启动车辆，让车辆在设定线路自主行驶，并测试车辆距障碍物停车、距车道线等技术指标。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ascii="等线" w:hAnsi="等线" w:eastAsia="等线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6791" w:type="dxa"/>
            <w:vAlign w:val="center"/>
          </w:tcPr>
          <w:p>
            <w:pPr>
              <w:ind w:left="100" w:leftChars="50" w:right="100" w:rightChars="50"/>
              <w:rPr>
                <w:rFonts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任务实施过程中，需遵守职业健康与素养，以及现场管理规章制度等。</w:t>
            </w:r>
          </w:p>
        </w:tc>
        <w:tc>
          <w:tcPr>
            <w:tcW w:w="1147" w:type="dxa"/>
            <w:vAlign w:val="center"/>
          </w:tcPr>
          <w:p>
            <w:pPr>
              <w:ind w:left="-108" w:right="-108"/>
              <w:jc w:val="center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 w:val="24"/>
                <w:lang w:eastAsia="zh-CN"/>
              </w:rPr>
              <w:t>20</w:t>
            </w:r>
            <w:r>
              <w:rPr>
                <w:rFonts w:hint="eastAsia" w:eastAsia="宋体"/>
                <w:sz w:val="24"/>
                <w:lang w:eastAsia="zh-CN"/>
              </w:rPr>
              <w:t>分</w:t>
            </w: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</w:p>
    <w:p>
      <w:pPr>
        <w:rPr>
          <w:sz w:val="24"/>
        </w:rPr>
      </w:pPr>
    </w:p>
    <w:tbl>
      <w:tblPr>
        <w:tblStyle w:val="1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vAlign w:val="center"/>
          </w:tcPr>
          <w:p>
            <w:pPr>
              <w:pStyle w:val="6"/>
              <w:spacing w:before="0" w:after="0"/>
              <w:jc w:val="center"/>
              <w:rPr>
                <w:i w:val="0"/>
                <w:sz w:val="32"/>
                <w:szCs w:val="32"/>
              </w:rPr>
            </w:pPr>
            <w:r>
              <w:rPr>
                <w:rFonts w:hint="eastAsia" w:eastAsia="宋体"/>
                <w:b w:val="0"/>
                <w:i w:val="0"/>
                <w:sz w:val="32"/>
                <w:szCs w:val="32"/>
                <w:lang w:eastAsia="zh-CN"/>
              </w:rPr>
              <w:t>检测报告单</w:t>
            </w:r>
          </w:p>
        </w:tc>
      </w:tr>
    </w:tbl>
    <w:p>
      <w:pPr>
        <w:spacing w:before="360" w:beforeLines="150"/>
        <w:rPr>
          <w:rFonts w:ascii="宋体" w:hAnsi="宋体" w:eastAsia="宋体"/>
          <w:bCs/>
          <w:sz w:val="24"/>
          <w:lang w:eastAsia="zh-CN"/>
        </w:rPr>
      </w:pPr>
      <w:r>
        <w:rPr>
          <w:rFonts w:hint="eastAsia" w:ascii="宋体" w:hAnsi="宋体" w:eastAsia="宋体"/>
          <w:b/>
          <w:sz w:val="24"/>
          <w:lang w:eastAsia="zh-CN"/>
        </w:rPr>
        <w:t>1.车辆基本功能和状态检查</w:t>
      </w:r>
      <w:r>
        <w:rPr>
          <w:rFonts w:hint="eastAsia" w:ascii="宋体" w:hAnsi="宋体" w:eastAsia="宋体"/>
          <w:bCs/>
          <w:sz w:val="24"/>
          <w:lang w:eastAsia="zh-CN"/>
        </w:rPr>
        <w:t>（只记录车辆问题处）</w:t>
      </w:r>
    </w:p>
    <w:tbl>
      <w:tblPr>
        <w:tblStyle w:val="14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354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lang w:eastAsia="zh-CN"/>
              </w:rPr>
              <w:t>部件名称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lang w:eastAsia="zh-CN"/>
              </w:rPr>
              <w:t>问题或缺陷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/>
                <w:color w:val="FF0000"/>
                <w:sz w:val="24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rFonts w:ascii="Times New Roman" w:hAnsi="Times New Roman"/>
                <w:color w:val="FF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FF0000"/>
                <w:sz w:val="24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544" w:type="dxa"/>
            <w:vAlign w:val="center"/>
          </w:tcPr>
          <w:p>
            <w:pPr>
              <w:jc w:val="both"/>
              <w:rPr>
                <w:rFonts w:eastAsia="宋体"/>
                <w:color w:val="FF0000"/>
                <w:sz w:val="22"/>
                <w:szCs w:val="22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both"/>
              <w:rPr>
                <w:sz w:val="22"/>
                <w:szCs w:val="22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仿宋" w:hAnsi="仿宋" w:eastAsia="仿宋"/>
          <w:b/>
          <w:bCs/>
          <w:kern w:val="2"/>
          <w:sz w:val="24"/>
          <w:lang w:eastAsia="zh-CN"/>
        </w:rPr>
      </w:pPr>
    </w:p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  <w:r>
        <w:rPr>
          <w:rFonts w:hint="eastAsia" w:ascii="宋体" w:hAnsi="宋体" w:eastAsia="宋体"/>
          <w:b/>
          <w:bCs/>
          <w:kern w:val="2"/>
          <w:sz w:val="24"/>
          <w:lang w:eastAsia="zh-CN"/>
        </w:rPr>
        <w:t>2.</w:t>
      </w:r>
      <w:r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kern w:val="2"/>
          <w:sz w:val="24"/>
          <w:lang w:eastAsia="zh-CN"/>
        </w:rPr>
        <w:t>地图参数设置</w:t>
      </w:r>
      <w:r>
        <w:rPr>
          <w:rFonts w:hint="eastAsia" w:ascii="宋体" w:hAnsi="宋体" w:eastAsia="宋体"/>
          <w:color w:val="000000"/>
          <w:kern w:val="2"/>
          <w:sz w:val="24"/>
          <w:lang w:eastAsia="zh-CN"/>
        </w:rPr>
        <w:t>（软件同步记录）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36"/>
        <w:gridCol w:w="2237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6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  <w:tc>
          <w:tcPr>
            <w:tcW w:w="2237" w:type="dxa"/>
          </w:tcPr>
          <w:p>
            <w:pPr>
              <w:widowControl w:val="0"/>
              <w:jc w:val="both"/>
              <w:rPr>
                <w:rFonts w:ascii="宋体" w:hAnsi="宋体" w:eastAsia="宋体"/>
                <w:b/>
                <w:bCs/>
                <w:color w:val="000000"/>
                <w:kern w:val="2"/>
                <w:sz w:val="24"/>
                <w:lang w:eastAsia="zh-CN"/>
              </w:rPr>
            </w:pPr>
          </w:p>
        </w:tc>
      </w:tr>
    </w:tbl>
    <w:p>
      <w:pPr>
        <w:widowControl w:val="0"/>
        <w:jc w:val="both"/>
        <w:rPr>
          <w:rFonts w:ascii="宋体" w:hAnsi="宋体" w:eastAsia="宋体"/>
          <w:b/>
          <w:bCs/>
          <w:color w:val="000000"/>
          <w:kern w:val="2"/>
          <w:sz w:val="24"/>
          <w:lang w:eastAsia="zh-CN"/>
        </w:rPr>
      </w:pPr>
    </w:p>
    <w:sectPr>
      <w:headerReference r:id="rId12" w:type="first"/>
      <w:footerReference r:id="rId14" w:type="first"/>
      <w:headerReference r:id="rId11" w:type="default"/>
      <w:footerReference r:id="rId13" w:type="default"/>
      <w:pgSz w:w="11906" w:h="16838"/>
      <w:pgMar w:top="1985" w:right="1588" w:bottom="1418" w:left="1588" w:header="567" w:footer="28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440"/>
      <w:gridCol w:w="5180"/>
      <w:gridCol w:w="2234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2440" w:type="dxa"/>
        </w:tcPr>
        <w:p>
          <w:pPr>
            <w:pStyle w:val="10"/>
            <w:rPr>
              <w:sz w:val="16"/>
            </w:rPr>
          </w:pPr>
        </w:p>
      </w:tc>
      <w:tc>
        <w:tcPr>
          <w:tcW w:w="5180" w:type="dxa"/>
        </w:tcPr>
        <w:p>
          <w:pPr>
            <w:pStyle w:val="10"/>
            <w:jc w:val="center"/>
            <w:rPr>
              <w:sz w:val="16"/>
            </w:rPr>
          </w:pPr>
        </w:p>
      </w:tc>
      <w:tc>
        <w:tcPr>
          <w:tcW w:w="2234" w:type="dxa"/>
        </w:tcPr>
        <w:p>
          <w:pPr>
            <w:pStyle w:val="10"/>
            <w:jc w:val="right"/>
            <w:rPr>
              <w:rStyle w:val="19"/>
            </w:rPr>
          </w:pPr>
        </w:p>
        <w:p>
          <w:pPr>
            <w:pStyle w:val="10"/>
            <w:jc w:val="right"/>
            <w:rPr>
              <w:rStyle w:val="19"/>
            </w:rPr>
          </w:pPr>
        </w:p>
        <w:p>
          <w:pPr>
            <w:pStyle w:val="10"/>
            <w:jc w:val="right"/>
            <w:rPr>
              <w:rStyle w:val="19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1</w:t>
          </w:r>
          <w:r>
            <w:fldChar w:fldCharType="end"/>
          </w:r>
          <w:r>
            <w:rPr>
              <w:rStyle w:val="19"/>
            </w:rPr>
            <w:t xml:space="preserve"> of </w:t>
          </w:r>
          <w:r>
            <w:fldChar w:fldCharType="begin"/>
          </w:r>
          <w:r>
            <w:rPr>
              <w:rStyle w:val="19"/>
            </w:rPr>
            <w:instrText xml:space="preserve"> NUMPAGES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12"/>
      <w:gridCol w:w="3322"/>
      <w:gridCol w:w="3220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1" w:hRule="atLeast"/>
      </w:trPr>
      <w:tc>
        <w:tcPr>
          <w:tcW w:w="3312" w:type="dxa"/>
          <w:tcBorders>
            <w:top w:val="single" w:color="auto" w:sz="4" w:space="0"/>
          </w:tcBorders>
        </w:tcPr>
        <w:p>
          <w:pPr>
            <w:pStyle w:val="10"/>
            <w:rPr>
              <w:sz w:val="16"/>
            </w:rPr>
          </w:pPr>
        </w:p>
      </w:tc>
      <w:tc>
        <w:tcPr>
          <w:tcW w:w="3322" w:type="dxa"/>
          <w:tcBorders>
            <w:top w:val="single" w:color="auto" w:sz="4" w:space="0"/>
          </w:tcBorders>
        </w:tcPr>
        <w:p>
          <w:pPr>
            <w:pStyle w:val="10"/>
            <w:jc w:val="center"/>
            <w:rPr>
              <w:rFonts w:cs="Arial"/>
              <w:sz w:val="16"/>
            </w:rPr>
          </w:pPr>
        </w:p>
      </w:tc>
      <w:tc>
        <w:tcPr>
          <w:tcW w:w="3220" w:type="dxa"/>
          <w:tcBorders>
            <w:top w:val="single" w:color="auto" w:sz="4" w:space="0"/>
          </w:tcBorders>
        </w:tcPr>
        <w:p>
          <w:pPr>
            <w:pStyle w:val="10"/>
            <w:jc w:val="right"/>
            <w:rPr>
              <w:rStyle w:val="19"/>
            </w:rPr>
          </w:pP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1" w:hRule="atLeast"/>
      </w:trPr>
      <w:tc>
        <w:tcPr>
          <w:tcW w:w="3312" w:type="dxa"/>
        </w:tcPr>
        <w:p>
          <w:pPr>
            <w:pStyle w:val="10"/>
            <w:rPr>
              <w:sz w:val="16"/>
            </w:rPr>
          </w:pPr>
          <w:r>
            <w:rPr>
              <w:sz w:val="16"/>
            </w:rPr>
            <w:t>Newsletter: Quarter 1, 2004</w:t>
          </w:r>
        </w:p>
        <w:p>
          <w:pPr>
            <w:pStyle w:val="10"/>
            <w:rPr>
              <w:sz w:val="16"/>
            </w:rPr>
          </w:pPr>
        </w:p>
        <w:p>
          <w:pPr>
            <w:pStyle w:val="10"/>
            <w:rPr>
              <w:sz w:val="16"/>
            </w:rPr>
          </w:pPr>
        </w:p>
      </w:tc>
      <w:tc>
        <w:tcPr>
          <w:tcW w:w="3322" w:type="dxa"/>
        </w:tcPr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WorldSkills Secretariat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Van Eedenstraat 9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2012 EL Haarlem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The Netherlands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Tel: +31 23 5311071</w:t>
          </w:r>
        </w:p>
        <w:p>
          <w:pPr>
            <w:pStyle w:val="10"/>
            <w:jc w:val="center"/>
            <w:rPr>
              <w:sz w:val="16"/>
            </w:rPr>
          </w:pPr>
          <w:r>
            <w:rPr>
              <w:rFonts w:cs="Arial"/>
              <w:sz w:val="16"/>
            </w:rPr>
            <w:t>Fax:+31 23 5316360</w:t>
          </w:r>
        </w:p>
      </w:tc>
      <w:tc>
        <w:tcPr>
          <w:tcW w:w="3220" w:type="dxa"/>
        </w:tcPr>
        <w:p>
          <w:pPr>
            <w:pStyle w:val="10"/>
            <w:jc w:val="right"/>
            <w:rPr>
              <w:sz w:val="16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2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440"/>
      <w:gridCol w:w="5180"/>
      <w:gridCol w:w="2234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2440" w:type="dxa"/>
        </w:tcPr>
        <w:p>
          <w:pPr>
            <w:pStyle w:val="10"/>
            <w:rPr>
              <w:sz w:val="16"/>
            </w:rPr>
          </w:pPr>
        </w:p>
      </w:tc>
      <w:tc>
        <w:tcPr>
          <w:tcW w:w="5180" w:type="dxa"/>
        </w:tcPr>
        <w:p>
          <w:pPr>
            <w:pStyle w:val="10"/>
            <w:jc w:val="center"/>
            <w:rPr>
              <w:sz w:val="16"/>
            </w:rPr>
          </w:pPr>
        </w:p>
      </w:tc>
      <w:tc>
        <w:tcPr>
          <w:tcW w:w="2234" w:type="dxa"/>
        </w:tcPr>
        <w:p>
          <w:pPr>
            <w:pStyle w:val="10"/>
            <w:jc w:val="right"/>
            <w:rPr>
              <w:rStyle w:val="19"/>
            </w:rPr>
          </w:pPr>
        </w:p>
        <w:p>
          <w:pPr>
            <w:pStyle w:val="10"/>
            <w:jc w:val="right"/>
            <w:rPr>
              <w:rStyle w:val="19"/>
            </w:rPr>
          </w:pPr>
        </w:p>
        <w:p>
          <w:pPr>
            <w:pStyle w:val="10"/>
            <w:jc w:val="right"/>
            <w:rPr>
              <w:rStyle w:val="19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1</w:t>
          </w:r>
          <w:r>
            <w:fldChar w:fldCharType="end"/>
          </w:r>
          <w:r>
            <w:rPr>
              <w:rStyle w:val="19"/>
            </w:rPr>
            <w:t xml:space="preserve"> of </w:t>
          </w:r>
          <w:r>
            <w:fldChar w:fldCharType="begin"/>
          </w:r>
          <w:r>
            <w:rPr>
              <w:rStyle w:val="19"/>
            </w:rPr>
            <w:instrText xml:space="preserve"> NUMPAGES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12"/>
      <w:gridCol w:w="3322"/>
      <w:gridCol w:w="3220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1" w:hRule="atLeast"/>
      </w:trPr>
      <w:tc>
        <w:tcPr>
          <w:tcW w:w="3312" w:type="dxa"/>
          <w:tcBorders>
            <w:top w:val="single" w:color="auto" w:sz="4" w:space="0"/>
          </w:tcBorders>
        </w:tcPr>
        <w:p>
          <w:pPr>
            <w:pStyle w:val="10"/>
            <w:rPr>
              <w:sz w:val="16"/>
            </w:rPr>
          </w:pPr>
        </w:p>
      </w:tc>
      <w:tc>
        <w:tcPr>
          <w:tcW w:w="3322" w:type="dxa"/>
          <w:tcBorders>
            <w:top w:val="single" w:color="auto" w:sz="4" w:space="0"/>
          </w:tcBorders>
        </w:tcPr>
        <w:p>
          <w:pPr>
            <w:pStyle w:val="10"/>
            <w:jc w:val="center"/>
            <w:rPr>
              <w:rFonts w:cs="Arial"/>
              <w:sz w:val="16"/>
            </w:rPr>
          </w:pPr>
        </w:p>
      </w:tc>
      <w:tc>
        <w:tcPr>
          <w:tcW w:w="3220" w:type="dxa"/>
          <w:tcBorders>
            <w:top w:val="single" w:color="auto" w:sz="4" w:space="0"/>
          </w:tcBorders>
        </w:tcPr>
        <w:p>
          <w:pPr>
            <w:pStyle w:val="10"/>
            <w:jc w:val="right"/>
            <w:rPr>
              <w:rStyle w:val="19"/>
            </w:rPr>
          </w:pP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1" w:hRule="atLeast"/>
      </w:trPr>
      <w:tc>
        <w:tcPr>
          <w:tcW w:w="3312" w:type="dxa"/>
        </w:tcPr>
        <w:p>
          <w:pPr>
            <w:pStyle w:val="10"/>
            <w:rPr>
              <w:sz w:val="16"/>
            </w:rPr>
          </w:pPr>
          <w:r>
            <w:rPr>
              <w:sz w:val="16"/>
            </w:rPr>
            <w:t>Newsletter: Quarter 1, 2004</w:t>
          </w:r>
        </w:p>
        <w:p>
          <w:pPr>
            <w:pStyle w:val="10"/>
            <w:rPr>
              <w:sz w:val="16"/>
            </w:rPr>
          </w:pPr>
        </w:p>
        <w:p>
          <w:pPr>
            <w:pStyle w:val="10"/>
            <w:rPr>
              <w:sz w:val="16"/>
            </w:rPr>
          </w:pPr>
        </w:p>
      </w:tc>
      <w:tc>
        <w:tcPr>
          <w:tcW w:w="3322" w:type="dxa"/>
        </w:tcPr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WorldSkills Secretariat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Van Eedenstraat 9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2012 EL Haarlem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The Netherlands</w:t>
          </w:r>
        </w:p>
        <w:p>
          <w:pPr>
            <w:pStyle w:val="1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Tel: +31 23 5311071</w:t>
          </w:r>
        </w:p>
        <w:p>
          <w:pPr>
            <w:pStyle w:val="10"/>
            <w:jc w:val="center"/>
            <w:rPr>
              <w:sz w:val="16"/>
            </w:rPr>
          </w:pPr>
          <w:r>
            <w:rPr>
              <w:rFonts w:cs="Arial"/>
              <w:sz w:val="16"/>
            </w:rPr>
            <w:t>Fax:+31 23 5316360</w:t>
          </w:r>
        </w:p>
      </w:tc>
      <w:tc>
        <w:tcPr>
          <w:tcW w:w="3220" w:type="dxa"/>
        </w:tcPr>
        <w:p>
          <w:pPr>
            <w:pStyle w:val="10"/>
            <w:jc w:val="right"/>
            <w:rPr>
              <w:sz w:val="16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2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926"/>
      <w:gridCol w:w="2464"/>
      <w:gridCol w:w="1507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4926" w:type="dxa"/>
        </w:tcPr>
        <w:p>
          <w:pPr>
            <w:pStyle w:val="10"/>
            <w:rPr>
              <w:sz w:val="16"/>
            </w:rPr>
          </w:pPr>
        </w:p>
      </w:tc>
      <w:tc>
        <w:tcPr>
          <w:tcW w:w="2464" w:type="dxa"/>
        </w:tcPr>
        <w:p>
          <w:pPr>
            <w:pStyle w:val="10"/>
            <w:rPr>
              <w:sz w:val="16"/>
            </w:rPr>
          </w:pPr>
        </w:p>
      </w:tc>
      <w:tc>
        <w:tcPr>
          <w:tcW w:w="1507" w:type="dxa"/>
        </w:tcPr>
        <w:p>
          <w:pPr>
            <w:pStyle w:val="10"/>
            <w:rPr>
              <w:sz w:val="16"/>
            </w:rPr>
          </w:pPr>
        </w:p>
      </w:tc>
    </w:tr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4926" w:type="dxa"/>
        </w:tcPr>
        <w:p>
          <w:pPr>
            <w:pStyle w:val="10"/>
            <w:rPr>
              <w:sz w:val="16"/>
            </w:rPr>
          </w:pPr>
        </w:p>
      </w:tc>
      <w:tc>
        <w:tcPr>
          <w:tcW w:w="2464" w:type="dxa"/>
        </w:tcPr>
        <w:p>
          <w:pPr>
            <w:pStyle w:val="10"/>
            <w:rPr>
              <w:sz w:val="16"/>
            </w:rPr>
          </w:pPr>
        </w:p>
      </w:tc>
      <w:tc>
        <w:tcPr>
          <w:tcW w:w="1507" w:type="dxa"/>
        </w:tcPr>
        <w:p>
          <w:pPr>
            <w:pStyle w:val="10"/>
            <w:jc w:val="right"/>
            <w:rPr>
              <w:rStyle w:val="19"/>
            </w:rPr>
          </w:pPr>
        </w:p>
        <w:p>
          <w:pPr>
            <w:pStyle w:val="10"/>
            <w:jc w:val="right"/>
            <w:rPr>
              <w:sz w:val="16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fldChar w:fldCharType="end"/>
          </w:r>
          <w:r>
            <w:rPr>
              <w:rStyle w:val="19"/>
            </w:rPr>
            <w:t xml:space="preserve"> of </w:t>
          </w:r>
          <w:r>
            <w:fldChar w:fldCharType="begin"/>
          </w:r>
          <w:r>
            <w:rPr>
              <w:rStyle w:val="19"/>
            </w:rPr>
            <w:instrText xml:space="preserve"> NUMPAGES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926"/>
      <w:gridCol w:w="2464"/>
      <w:gridCol w:w="2464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4926" w:type="dxa"/>
        </w:tcPr>
        <w:p>
          <w:pPr>
            <w:pStyle w:val="10"/>
            <w:rPr>
              <w:sz w:val="16"/>
            </w:rPr>
          </w:pPr>
        </w:p>
      </w:tc>
      <w:tc>
        <w:tcPr>
          <w:tcW w:w="2464" w:type="dxa"/>
        </w:tcPr>
        <w:p>
          <w:pPr>
            <w:pStyle w:val="10"/>
            <w:rPr>
              <w:sz w:val="16"/>
            </w:rPr>
          </w:pPr>
        </w:p>
      </w:tc>
      <w:tc>
        <w:tcPr>
          <w:tcW w:w="2464" w:type="dxa"/>
        </w:tcPr>
        <w:p>
          <w:pPr>
            <w:pStyle w:val="10"/>
            <w:rPr>
              <w:sz w:val="16"/>
            </w:rPr>
          </w:pPr>
        </w:p>
      </w:tc>
    </w:tr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4926" w:type="dxa"/>
        </w:tcPr>
        <w:p>
          <w:pPr>
            <w:pStyle w:val="10"/>
            <w:rPr>
              <w:sz w:val="16"/>
            </w:rPr>
          </w:pPr>
          <w:r>
            <w:rPr>
              <w:sz w:val="16"/>
            </w:rPr>
            <w:t>Document name</w:t>
          </w:r>
        </w:p>
        <w:p>
          <w:pPr>
            <w:pStyle w:val="10"/>
            <w:rPr>
              <w:sz w:val="16"/>
            </w:rPr>
          </w:pPr>
          <w:r>
            <w:fldChar w:fldCharType="begin"/>
          </w:r>
          <w:r>
            <w:instrText xml:space="preserve"> FILENAME  \* MERGEFORMAT </w:instrText>
          </w:r>
          <w:r>
            <w:fldChar w:fldCharType="separate"/>
          </w:r>
          <w:r>
            <w:rPr>
              <w:sz w:val="16"/>
            </w:rPr>
            <w:t>WSC2011_TP33_M2_actual_EN</w:t>
          </w:r>
          <w:r>
            <w:rPr>
              <w:sz w:val="16"/>
            </w:rPr>
            <w:fldChar w:fldCharType="end"/>
          </w:r>
        </w:p>
      </w:tc>
      <w:tc>
        <w:tcPr>
          <w:tcW w:w="2464" w:type="dxa"/>
        </w:tcPr>
        <w:p>
          <w:pPr>
            <w:pStyle w:val="10"/>
            <w:rPr>
              <w:sz w:val="16"/>
            </w:rPr>
          </w:pPr>
          <w:r>
            <w:rPr>
              <w:sz w:val="16"/>
            </w:rPr>
            <w:t>Version:</w:t>
          </w:r>
        </w:p>
        <w:p>
          <w:pPr>
            <w:pStyle w:val="10"/>
            <w:rPr>
              <w:sz w:val="16"/>
            </w:rPr>
          </w:pPr>
          <w:r>
            <w:rPr>
              <w:sz w:val="16"/>
            </w:rPr>
            <w:t>Date:</w:t>
          </w:r>
        </w:p>
      </w:tc>
      <w:tc>
        <w:tcPr>
          <w:tcW w:w="2464" w:type="dxa"/>
        </w:tcPr>
        <w:p>
          <w:pPr>
            <w:pStyle w:val="10"/>
            <w:jc w:val="right"/>
            <w:rPr>
              <w:sz w:val="16"/>
            </w:rPr>
          </w:pPr>
          <w:r>
            <w:fldChar w:fldCharType="begin"/>
          </w:r>
          <w:r>
            <w:rPr>
              <w:rStyle w:val="19"/>
            </w:rPr>
            <w:instrText xml:space="preserve"> PAGE </w:instrText>
          </w:r>
          <w:r>
            <w:fldChar w:fldCharType="separate"/>
          </w:r>
          <w:r>
            <w:rPr>
              <w:rStyle w:val="19"/>
            </w:rPr>
            <w:t>2</w:t>
          </w:r>
          <w:r>
            <w:fldChar w:fldCharType="end"/>
          </w:r>
          <w:r>
            <w:rPr>
              <w:rStyle w:val="19"/>
            </w:rPr>
            <w:t xml:space="preserve"> of </w:t>
          </w:r>
          <w:r>
            <w:fldChar w:fldCharType="begin"/>
          </w:r>
          <w:r>
            <w:rPr>
              <w:rStyle w:val="19"/>
            </w:rPr>
            <w:instrText xml:space="preserve"> NUMPAGES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fldChar w:fldCharType="end"/>
          </w:r>
        </w:p>
      </w:tc>
    </w:tr>
  </w:tbl>
  <w:p>
    <w:pPr>
      <w:pStyle w:val="10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hint="eastAsia" w:eastAsiaTheme="minor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</w:pPr>
    <w:r>
      <w:rPr>
        <w:lang w:eastAsia="zh-CN"/>
      </w:rPr>
      <w:drawing>
        <wp:inline distT="0" distB="0" distL="0" distR="0">
          <wp:extent cx="1085850" cy="723900"/>
          <wp:effectExtent l="19050" t="0" r="0" b="0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58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hint="eastAsia" w:eastAsiaTheme="minorEastAsia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</w:pPr>
    <w:r>
      <w:rPr>
        <w:lang w:eastAsia="zh-CN"/>
      </w:rPr>
      <w:drawing>
        <wp:inline distT="0" distB="0" distL="0" distR="0">
          <wp:extent cx="1085850" cy="723900"/>
          <wp:effectExtent l="1905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58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</w:pPr>
    <w:r>
      <w:rPr>
        <w:lang w:eastAsia="zh-CN"/>
      </w:rPr>
      <w:drawing>
        <wp:inline distT="0" distB="0" distL="0" distR="0">
          <wp:extent cx="1085850" cy="723900"/>
          <wp:effectExtent l="1905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58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rawingGridHorizontalSpacing w:val="0"/>
  <w:drawingGridVerticalSpacing w:val="0"/>
  <w:noPunctuationKerning w:val="1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10A7D"/>
    <w:rsid w:val="0002138A"/>
    <w:rsid w:val="000377A6"/>
    <w:rsid w:val="00071D6A"/>
    <w:rsid w:val="00091FDF"/>
    <w:rsid w:val="00092922"/>
    <w:rsid w:val="00093AEF"/>
    <w:rsid w:val="000A698B"/>
    <w:rsid w:val="000C2D23"/>
    <w:rsid w:val="000E2042"/>
    <w:rsid w:val="000E73F2"/>
    <w:rsid w:val="00105301"/>
    <w:rsid w:val="00110AA8"/>
    <w:rsid w:val="00110ABB"/>
    <w:rsid w:val="00144616"/>
    <w:rsid w:val="001563F1"/>
    <w:rsid w:val="00172A27"/>
    <w:rsid w:val="00172BAF"/>
    <w:rsid w:val="00175A99"/>
    <w:rsid w:val="0018352E"/>
    <w:rsid w:val="00187A48"/>
    <w:rsid w:val="001C1E67"/>
    <w:rsid w:val="00214DE5"/>
    <w:rsid w:val="00242757"/>
    <w:rsid w:val="002463BB"/>
    <w:rsid w:val="00291ECF"/>
    <w:rsid w:val="00295D24"/>
    <w:rsid w:val="002966E9"/>
    <w:rsid w:val="002A68D0"/>
    <w:rsid w:val="002D2FB6"/>
    <w:rsid w:val="002E0F22"/>
    <w:rsid w:val="002E7AE7"/>
    <w:rsid w:val="00326379"/>
    <w:rsid w:val="00365C1D"/>
    <w:rsid w:val="00372C50"/>
    <w:rsid w:val="0037510D"/>
    <w:rsid w:val="00394489"/>
    <w:rsid w:val="003975CC"/>
    <w:rsid w:val="003C70FB"/>
    <w:rsid w:val="003E2002"/>
    <w:rsid w:val="003F048B"/>
    <w:rsid w:val="0040040C"/>
    <w:rsid w:val="00422BC3"/>
    <w:rsid w:val="00467C66"/>
    <w:rsid w:val="004A3899"/>
    <w:rsid w:val="004A47D3"/>
    <w:rsid w:val="004B39DB"/>
    <w:rsid w:val="004D32C5"/>
    <w:rsid w:val="0052608F"/>
    <w:rsid w:val="005603FD"/>
    <w:rsid w:val="005A50DF"/>
    <w:rsid w:val="005B2D36"/>
    <w:rsid w:val="0064387D"/>
    <w:rsid w:val="00655FE6"/>
    <w:rsid w:val="006800F5"/>
    <w:rsid w:val="006D6C61"/>
    <w:rsid w:val="006F20B0"/>
    <w:rsid w:val="00720A16"/>
    <w:rsid w:val="0074653C"/>
    <w:rsid w:val="00764142"/>
    <w:rsid w:val="00766F12"/>
    <w:rsid w:val="00775F9A"/>
    <w:rsid w:val="007C1B70"/>
    <w:rsid w:val="007F3526"/>
    <w:rsid w:val="00816718"/>
    <w:rsid w:val="00816AFA"/>
    <w:rsid w:val="00850AF5"/>
    <w:rsid w:val="0086191C"/>
    <w:rsid w:val="008B63BF"/>
    <w:rsid w:val="008B719C"/>
    <w:rsid w:val="009058D8"/>
    <w:rsid w:val="009352B6"/>
    <w:rsid w:val="00945DC0"/>
    <w:rsid w:val="00946A6F"/>
    <w:rsid w:val="00986018"/>
    <w:rsid w:val="009943C6"/>
    <w:rsid w:val="009960B3"/>
    <w:rsid w:val="009C19EA"/>
    <w:rsid w:val="009D2DC1"/>
    <w:rsid w:val="009D3429"/>
    <w:rsid w:val="00A23C87"/>
    <w:rsid w:val="00A247AB"/>
    <w:rsid w:val="00A63EAA"/>
    <w:rsid w:val="00A85801"/>
    <w:rsid w:val="00AE7795"/>
    <w:rsid w:val="00B01148"/>
    <w:rsid w:val="00B3396C"/>
    <w:rsid w:val="00B33A05"/>
    <w:rsid w:val="00B636E8"/>
    <w:rsid w:val="00B82025"/>
    <w:rsid w:val="00BB3BAF"/>
    <w:rsid w:val="00BC56F5"/>
    <w:rsid w:val="00BF5E91"/>
    <w:rsid w:val="00C07CEF"/>
    <w:rsid w:val="00C1025E"/>
    <w:rsid w:val="00C113ED"/>
    <w:rsid w:val="00C14ACE"/>
    <w:rsid w:val="00C22BB8"/>
    <w:rsid w:val="00C3026E"/>
    <w:rsid w:val="00C63EE0"/>
    <w:rsid w:val="00C660F6"/>
    <w:rsid w:val="00CB2519"/>
    <w:rsid w:val="00CB2AF6"/>
    <w:rsid w:val="00D32E03"/>
    <w:rsid w:val="00D43037"/>
    <w:rsid w:val="00DC26B6"/>
    <w:rsid w:val="00DE5C7F"/>
    <w:rsid w:val="00E11ED9"/>
    <w:rsid w:val="00E35E13"/>
    <w:rsid w:val="00E53298"/>
    <w:rsid w:val="00E673F3"/>
    <w:rsid w:val="00E83D39"/>
    <w:rsid w:val="00E95380"/>
    <w:rsid w:val="00EA78CA"/>
    <w:rsid w:val="00EB1975"/>
    <w:rsid w:val="00EB4196"/>
    <w:rsid w:val="00EE0C72"/>
    <w:rsid w:val="00EF169C"/>
    <w:rsid w:val="00F76B3C"/>
    <w:rsid w:val="00F77411"/>
    <w:rsid w:val="00F80142"/>
    <w:rsid w:val="00FA727D"/>
    <w:rsid w:val="00FB4004"/>
    <w:rsid w:val="00FC3E17"/>
    <w:rsid w:val="1324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3">
    <w:name w:val="heading 2"/>
    <w:basedOn w:val="1"/>
    <w:next w:val="1"/>
    <w:qFormat/>
    <w:uiPriority w:val="0"/>
    <w:pPr>
      <w:keepNext/>
      <w:spacing w:before="240" w:after="120"/>
      <w:outlineLvl w:val="1"/>
    </w:pPr>
    <w:rPr>
      <w:b/>
      <w:i/>
      <w:sz w:val="22"/>
    </w:rPr>
  </w:style>
  <w:style w:type="paragraph" w:styleId="4">
    <w:name w:val="heading 3"/>
    <w:basedOn w:val="1"/>
    <w:next w:val="1"/>
    <w:qFormat/>
    <w:uiPriority w:val="0"/>
    <w:pPr>
      <w:keepNext/>
      <w:spacing w:before="120"/>
      <w:outlineLvl w:val="2"/>
    </w:pPr>
    <w:rPr>
      <w:rFonts w:cs="Arial"/>
      <w:b/>
      <w:bCs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unhideWhenUsed/>
    <w:qFormat/>
    <w:uiPriority w:val="99"/>
  </w:style>
  <w:style w:type="paragraph" w:styleId="9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itle"/>
    <w:basedOn w:val="1"/>
    <w:qFormat/>
    <w:uiPriority w:val="0"/>
    <w:pPr>
      <w:jc w:val="center"/>
    </w:pPr>
    <w:rPr>
      <w:rFonts w:ascii="Times New Roman" w:hAnsi="Times New Roman"/>
      <w:b/>
      <w:sz w:val="28"/>
      <w:szCs w:val="20"/>
      <w:u w:val="single"/>
    </w:rPr>
  </w:style>
  <w:style w:type="paragraph" w:styleId="13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uiPriority w:val="0"/>
    <w:rPr>
      <w:color w:val="0000FF"/>
      <w:u w:val="single"/>
    </w:rPr>
  </w:style>
  <w:style w:type="character" w:styleId="18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9">
    <w:name w:val="页码1"/>
    <w:uiPriority w:val="0"/>
    <w:rPr>
      <w:rFonts w:ascii="Arial" w:hAnsi="Arial"/>
      <w:sz w:val="16"/>
    </w:rPr>
  </w:style>
  <w:style w:type="paragraph" w:customStyle="1" w:styleId="20">
    <w:name w:val="TOC 71"/>
    <w:basedOn w:val="1"/>
    <w:next w:val="1"/>
    <w:qFormat/>
    <w:uiPriority w:val="0"/>
    <w:pPr>
      <w:ind w:left="1080"/>
    </w:pPr>
  </w:style>
  <w:style w:type="paragraph" w:customStyle="1" w:styleId="21">
    <w:name w:val="numbered list"/>
    <w:basedOn w:val="22"/>
    <w:qFormat/>
    <w:uiPriority w:val="0"/>
    <w:pPr>
      <w:tabs>
        <w:tab w:val="left" w:pos="360"/>
      </w:tabs>
    </w:pPr>
  </w:style>
  <w:style w:type="paragraph" w:customStyle="1" w:styleId="22">
    <w:name w:val="bullet"/>
    <w:basedOn w:val="1"/>
    <w:qFormat/>
    <w:uiPriority w:val="0"/>
    <w:pPr>
      <w:tabs>
        <w:tab w:val="left" w:pos="360"/>
      </w:tabs>
      <w:ind w:left="360" w:hanging="360"/>
    </w:pPr>
  </w:style>
  <w:style w:type="paragraph" w:customStyle="1" w:styleId="23">
    <w:name w:val="Doc subtitle1"/>
    <w:basedOn w:val="1"/>
    <w:qFormat/>
    <w:uiPriority w:val="0"/>
    <w:rPr>
      <w:b/>
      <w:sz w:val="28"/>
    </w:rPr>
  </w:style>
  <w:style w:type="paragraph" w:customStyle="1" w:styleId="24">
    <w:name w:val="Doc subtitle2"/>
    <w:basedOn w:val="1"/>
    <w:qFormat/>
    <w:uiPriority w:val="0"/>
    <w:rPr>
      <w:sz w:val="28"/>
    </w:rPr>
  </w:style>
  <w:style w:type="paragraph" w:customStyle="1" w:styleId="25">
    <w:name w:val="Doc title"/>
    <w:basedOn w:val="1"/>
    <w:qFormat/>
    <w:uiPriority w:val="0"/>
    <w:rPr>
      <w:b/>
      <w:sz w:val="40"/>
    </w:rPr>
  </w:style>
  <w:style w:type="paragraph" w:customStyle="1" w:styleId="26">
    <w:name w:val="Image text"/>
    <w:basedOn w:val="1"/>
    <w:qFormat/>
    <w:uiPriority w:val="0"/>
    <w:rPr>
      <w:i/>
    </w:rPr>
  </w:style>
  <w:style w:type="paragraph" w:customStyle="1" w:styleId="27">
    <w:name w:val="Signatures"/>
    <w:basedOn w:val="26"/>
    <w:qFormat/>
    <w:uiPriority w:val="0"/>
  </w:style>
  <w:style w:type="paragraph" w:customStyle="1" w:styleId="28">
    <w:name w:val="Lettered list"/>
    <w:basedOn w:val="22"/>
    <w:uiPriority w:val="0"/>
    <w:pPr>
      <w:tabs>
        <w:tab w:val="left" w:pos="357"/>
        <w:tab w:val="clear" w:pos="360"/>
      </w:tabs>
      <w:ind w:left="357" w:hanging="357"/>
    </w:pPr>
  </w:style>
  <w:style w:type="paragraph" w:customStyle="1" w:styleId="29">
    <w:name w:val="TOC 91"/>
    <w:basedOn w:val="1"/>
    <w:next w:val="1"/>
    <w:qFormat/>
    <w:uiPriority w:val="0"/>
    <w:pPr>
      <w:ind w:left="1440"/>
    </w:pPr>
  </w:style>
  <w:style w:type="paragraph" w:customStyle="1" w:styleId="30">
    <w:name w:val="TOC 21"/>
    <w:basedOn w:val="1"/>
    <w:next w:val="1"/>
    <w:qFormat/>
    <w:uiPriority w:val="0"/>
    <w:pPr>
      <w:ind w:left="180"/>
    </w:pPr>
  </w:style>
  <w:style w:type="paragraph" w:customStyle="1" w:styleId="31">
    <w:name w:val="TOC 61"/>
    <w:basedOn w:val="1"/>
    <w:next w:val="1"/>
    <w:uiPriority w:val="0"/>
    <w:pPr>
      <w:ind w:left="900"/>
    </w:pPr>
  </w:style>
  <w:style w:type="paragraph" w:customStyle="1" w:styleId="32">
    <w:name w:val="TOC 41"/>
    <w:basedOn w:val="1"/>
    <w:next w:val="1"/>
    <w:uiPriority w:val="0"/>
    <w:pPr>
      <w:ind w:left="540"/>
    </w:pPr>
  </w:style>
  <w:style w:type="paragraph" w:customStyle="1" w:styleId="33">
    <w:name w:val="TOC 11"/>
    <w:basedOn w:val="1"/>
    <w:next w:val="1"/>
    <w:qFormat/>
    <w:uiPriority w:val="0"/>
  </w:style>
  <w:style w:type="paragraph" w:customStyle="1" w:styleId="34">
    <w:name w:val="TOC 81"/>
    <w:basedOn w:val="1"/>
    <w:next w:val="1"/>
    <w:qFormat/>
    <w:uiPriority w:val="0"/>
    <w:pPr>
      <w:ind w:left="1260"/>
    </w:pPr>
  </w:style>
  <w:style w:type="paragraph" w:customStyle="1" w:styleId="35">
    <w:name w:val="TOC 31"/>
    <w:basedOn w:val="1"/>
    <w:next w:val="1"/>
    <w:uiPriority w:val="0"/>
    <w:pPr>
      <w:ind w:left="360"/>
    </w:pPr>
  </w:style>
  <w:style w:type="paragraph" w:customStyle="1" w:styleId="36">
    <w:name w:val="TOC 51"/>
    <w:basedOn w:val="1"/>
    <w:next w:val="1"/>
    <w:qFormat/>
    <w:uiPriority w:val="0"/>
    <w:pPr>
      <w:ind w:left="720"/>
    </w:pPr>
  </w:style>
  <w:style w:type="character" w:customStyle="1" w:styleId="37">
    <w:name w:val="批注文字 字符"/>
    <w:link w:val="8"/>
    <w:semiHidden/>
    <w:qFormat/>
    <w:uiPriority w:val="99"/>
    <w:rPr>
      <w:rFonts w:ascii="Arial" w:hAnsi="Arial" w:eastAsia="Times New Roman"/>
      <w:szCs w:val="24"/>
      <w:lang w:val="en-US" w:eastAsia="en-US"/>
    </w:rPr>
  </w:style>
  <w:style w:type="character" w:customStyle="1" w:styleId="38">
    <w:name w:val="批注主题 字符"/>
    <w:link w:val="13"/>
    <w:semiHidden/>
    <w:qFormat/>
    <w:uiPriority w:val="99"/>
    <w:rPr>
      <w:rFonts w:ascii="Arial" w:hAnsi="Arial" w:eastAsia="Times New Roman"/>
      <w:b/>
      <w:bCs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6426;&#30005;&#32844;&#19994;&#25216;&#26415;&#23398;&#38498;\&#25945;&#30740;&#39033;&#30446;&#36164;&#26009;\&#22269;&#36187;&#36164;&#26009;\2019&#24180;&#26032;&#33021;&#28304;&#27773;&#36710;&#20851;&#38190;&#25216;&#26415;&#25216;&#33021;&#22823;&#36187;&#35268;&#31243;&#65288;&#20154;&#31038;&#37096;&#65289;\WorldSkills_doc_wcover_wonum_EN_v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WorldSkills_doc_wcover_wonum_EN_v1</Template>
  <Manager>WorldSkills Secretariat</Manager>
  <Company>WorldSkills</Company>
  <Pages>6</Pages>
  <Words>260</Words>
  <Characters>1486</Characters>
  <Lines>12</Lines>
  <Paragraphs>3</Paragraphs>
  <TotalTime>305</TotalTime>
  <ScaleCrop>false</ScaleCrop>
  <LinksUpToDate>false</LinksUpToDate>
  <CharactersWithSpaces>1743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2019-10-30T14:06:00Z</dcterms:created>
  <dc:creator>David Hoey</dc:creator>
  <cp:lastModifiedBy>侯世亮</cp:lastModifiedBy>
  <cp:lastPrinted>2011-11-10T00:02:00Z</cp:lastPrinted>
  <dcterms:modified xsi:type="dcterms:W3CDTF">2021-11-11T06:24:47Z</dcterms:modified>
  <dc:title>Test Project document template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BC49B9EB503C4FD1BB26032F69A3C8DC</vt:lpwstr>
  </property>
</Properties>
</file>