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黑体" w:hAnsi="黑体" w:eastAsia="黑体" w:cs="仿宋_GB2312"/>
          <w:b/>
          <w:color w:val="auto"/>
          <w:sz w:val="36"/>
          <w:szCs w:val="36"/>
        </w:rPr>
      </w:pPr>
      <w:r>
        <w:rPr>
          <w:rFonts w:hint="eastAsia" w:ascii="黑体" w:hAnsi="黑体" w:eastAsia="黑体" w:cs="仿宋_GB2312"/>
          <w:b/>
          <w:color w:val="auto"/>
          <w:sz w:val="36"/>
          <w:szCs w:val="36"/>
          <w:lang w:eastAsia="zh-CN"/>
        </w:rPr>
        <w:t>2020</w:t>
      </w:r>
      <w:r>
        <w:rPr>
          <w:rFonts w:hint="eastAsia" w:ascii="黑体" w:hAnsi="黑体" w:eastAsia="黑体" w:cs="仿宋_GB2312"/>
          <w:b/>
          <w:color w:val="auto"/>
          <w:sz w:val="36"/>
          <w:szCs w:val="36"/>
        </w:rPr>
        <w:t>年度机械行业职业教育技能大赛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313" w:afterLines="100" w:line="540" w:lineRule="exact"/>
        <w:jc w:val="center"/>
        <w:textAlignment w:val="auto"/>
        <w:rPr>
          <w:rFonts w:ascii="Arial Narrow" w:hAnsi="Arial Narrow" w:eastAsia="黑体"/>
          <w:b/>
          <w:color w:val="auto"/>
          <w:sz w:val="36"/>
          <w:szCs w:val="36"/>
        </w:rPr>
      </w:pPr>
      <w:r>
        <w:rPr>
          <w:rFonts w:hint="eastAsia" w:ascii="黑体" w:hAnsi="黑体" w:eastAsia="黑体" w:cs="仿宋_GB2312"/>
          <w:b/>
          <w:color w:val="auto"/>
          <w:sz w:val="36"/>
          <w:szCs w:val="36"/>
          <w:lang w:eastAsia="zh-CN"/>
        </w:rPr>
        <w:t>“精雕杯”五轴数控加工技术</w:t>
      </w:r>
      <w:r>
        <w:rPr>
          <w:rFonts w:hint="eastAsia" w:ascii="黑体" w:hAnsi="黑体" w:eastAsia="黑体" w:cs="仿宋_GB2312"/>
          <w:b/>
          <w:color w:val="auto"/>
          <w:sz w:val="36"/>
          <w:szCs w:val="36"/>
        </w:rPr>
        <w:t>赛项竞赛规程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textAlignment w:val="auto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一、赛项名称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0" w:firstLineChars="200"/>
        <w:textAlignment w:val="auto"/>
        <w:rPr>
          <w:rFonts w:hint="eastAsia" w:ascii="Arial Narrow" w:hAnsi="Arial Narrow" w:eastAsia="仿宋_GB2312" w:cs="Arial"/>
          <w:color w:val="auto"/>
          <w:sz w:val="30"/>
          <w:szCs w:val="30"/>
          <w:lang w:eastAsia="zh-CN"/>
        </w:rPr>
      </w:pPr>
      <w:r>
        <w:rPr>
          <w:rFonts w:hint="eastAsia" w:ascii="Arial Narrow" w:hAnsi="Arial Narrow" w:eastAsia="仿宋_GB2312" w:cs="Arial"/>
          <w:color w:val="auto"/>
          <w:sz w:val="30"/>
          <w:szCs w:val="30"/>
          <w:lang w:eastAsia="zh-CN"/>
        </w:rPr>
        <w:t>“精雕杯”五轴数控加工技术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602" w:firstLineChars="200"/>
        <w:textAlignment w:val="auto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二、赛项组别</w:t>
      </w:r>
      <w:r>
        <w:rPr>
          <w:rFonts w:ascii="Arial Narrow" w:hAnsi="Arial Narrow" w:eastAsia="仿宋_GB2312" w:cs="Arial"/>
          <w:b/>
          <w:bCs/>
          <w:color w:val="auto"/>
          <w:sz w:val="30"/>
          <w:szCs w:val="30"/>
        </w:rPr>
        <w:t>及</w:t>
      </w: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（一）赛项组别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1"/>
        <w:jc w:val="left"/>
        <w:textAlignment w:val="auto"/>
        <w:rPr>
          <w:rFonts w:hint="eastAsia"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高职组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1"/>
        <w:jc w:val="left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应用型本科、高职高专（含五年制）、技师学院在籍学生。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2" w:firstLineChars="200"/>
        <w:textAlignment w:val="auto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三、竞赛拟定时间及地点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</w:t>
      </w:r>
      <w:r>
        <w:rPr>
          <w:rFonts w:hint="eastAsia" w:ascii="楷体" w:hAnsi="楷体" w:eastAsia="楷体" w:cs="仿宋"/>
          <w:color w:val="auto"/>
          <w:sz w:val="30"/>
          <w:szCs w:val="30"/>
          <w:lang w:eastAsia="zh-CN"/>
        </w:rPr>
        <w:t>决</w:t>
      </w:r>
      <w:r>
        <w:rPr>
          <w:rFonts w:hint="eastAsia" w:ascii="楷体" w:hAnsi="楷体" w:eastAsia="楷体" w:cs="仿宋"/>
          <w:color w:val="auto"/>
          <w:sz w:val="30"/>
          <w:szCs w:val="30"/>
        </w:rPr>
        <w:t>赛</w:t>
      </w:r>
      <w:r>
        <w:rPr>
          <w:rFonts w:ascii="楷体" w:hAnsi="楷体" w:eastAsia="楷体" w:cs="仿宋"/>
          <w:color w:val="auto"/>
          <w:sz w:val="30"/>
          <w:szCs w:val="30"/>
        </w:rPr>
        <w:t>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900" w:firstLineChars="300"/>
        <w:textAlignment w:val="auto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2020</w:t>
      </w:r>
      <w:r>
        <w:rPr>
          <w:rFonts w:ascii="仿宋" w:hAnsi="仿宋" w:eastAsia="仿宋" w:cs="仿宋"/>
          <w:color w:val="auto"/>
          <w:sz w:val="30"/>
          <w:szCs w:val="30"/>
        </w:rPr>
        <w:t>年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12</w:t>
      </w:r>
      <w:r>
        <w:rPr>
          <w:rFonts w:ascii="仿宋" w:hAnsi="仿宋" w:eastAsia="仿宋" w:cs="仿宋"/>
          <w:color w:val="auto"/>
          <w:sz w:val="30"/>
          <w:szCs w:val="30"/>
        </w:rPr>
        <w:t>月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24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-12月27日</w:t>
      </w:r>
      <w:r>
        <w:rPr>
          <w:rFonts w:ascii="仿宋" w:hAnsi="仿宋" w:eastAsia="仿宋" w:cs="仿宋"/>
          <w:color w:val="auto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textAlignment w:val="auto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（二）竞赛</w:t>
      </w:r>
      <w:r>
        <w:rPr>
          <w:rFonts w:ascii="楷体" w:hAnsi="楷体" w:eastAsia="楷体" w:cs="仿宋"/>
          <w:color w:val="auto"/>
          <w:sz w:val="30"/>
          <w:szCs w:val="30"/>
        </w:rPr>
        <w:t>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jc w:val="left"/>
        <w:textAlignment w:val="auto"/>
        <w:rPr>
          <w:rFonts w:ascii="仿宋_GB2312" w:hAnsi="宋体" w:eastAsia="仿宋_GB2312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/>
          <w:color w:val="auto"/>
          <w:kern w:val="0"/>
          <w:sz w:val="30"/>
          <w:szCs w:val="30"/>
          <w:lang w:eastAsia="zh-CN"/>
        </w:rPr>
        <w:t>东莞精雕职业培训第二学校（</w:t>
      </w:r>
      <w:r>
        <w:rPr>
          <w:rFonts w:ascii="仿宋_GB2312" w:hAnsi="宋体" w:eastAsia="仿宋_GB2312"/>
          <w:color w:val="auto"/>
          <w:kern w:val="0"/>
          <w:sz w:val="30"/>
          <w:szCs w:val="30"/>
        </w:rPr>
        <w:t>广东省东莞市龙湖街与长生路交叉口</w:t>
      </w:r>
      <w:r>
        <w:rPr>
          <w:rFonts w:hint="eastAsia" w:ascii="仿宋_GB2312" w:hAnsi="宋体" w:eastAsia="仿宋_GB2312"/>
          <w:color w:val="auto"/>
          <w:kern w:val="0"/>
          <w:sz w:val="30"/>
          <w:szCs w:val="30"/>
          <w:lang w:eastAsia="zh-CN"/>
        </w:rPr>
        <w:t>）</w:t>
      </w:r>
      <w:r>
        <w:rPr>
          <w:rFonts w:hint="eastAsia" w:ascii="仿宋_GB2312" w:hAnsi="宋体" w:eastAsia="仿宋_GB2312"/>
          <w:color w:val="auto"/>
          <w:kern w:val="0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600" w:firstLineChars="200"/>
        <w:jc w:val="left"/>
        <w:textAlignment w:val="auto"/>
        <w:rPr>
          <w:rFonts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报到地点和住宿酒店等安排详见报到通知。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四、竞赛方式与内容</w:t>
      </w:r>
    </w:p>
    <w:p>
      <w:pPr>
        <w:widowControl/>
        <w:spacing w:line="560" w:lineRule="exact"/>
        <w:ind w:firstLine="600"/>
        <w:jc w:val="left"/>
        <w:rPr>
          <w:rFonts w:hint="eastAsia" w:ascii="仿宋_GB2312" w:hAnsi="仿宋_GB2312" w:eastAsia="仿宋_GB2312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（一）竞赛</w:t>
      </w:r>
      <w:r>
        <w:rPr>
          <w:rFonts w:hint="eastAsia" w:ascii="仿宋_GB2312" w:hAnsi="楷体" w:eastAsia="仿宋_GB2312" w:cs="仿宋"/>
          <w:color w:val="auto"/>
          <w:sz w:val="30"/>
          <w:szCs w:val="30"/>
        </w:rPr>
        <w:t>方式：</w:t>
      </w:r>
      <w:r>
        <w:rPr>
          <w:rFonts w:hint="eastAsia" w:ascii="仿宋_GB2312" w:hAnsi="仿宋_GB2312" w:eastAsia="仿宋_GB2312"/>
          <w:color w:val="auto"/>
          <w:sz w:val="30"/>
          <w:szCs w:val="30"/>
        </w:rPr>
        <w:t>本赛项为团体赛，每支参赛队由2名选手组成，每队指导教师不超过2名。不得跨校组队。全国限报</w:t>
      </w:r>
      <w:r>
        <w:rPr>
          <w:rFonts w:hint="eastAsia" w:ascii="仿宋_GB2312" w:hAnsi="仿宋_GB2312" w:eastAsia="仿宋_GB2312"/>
          <w:color w:val="auto"/>
          <w:sz w:val="30"/>
          <w:szCs w:val="30"/>
          <w:lang w:val="en-US" w:eastAsia="zh-CN"/>
        </w:rPr>
        <w:t>56</w:t>
      </w:r>
      <w:r>
        <w:rPr>
          <w:rFonts w:hint="eastAsia" w:ascii="仿宋_GB2312" w:hAnsi="仿宋_GB2312" w:eastAsia="仿宋_GB2312"/>
          <w:color w:val="auto"/>
          <w:sz w:val="30"/>
          <w:szCs w:val="30"/>
        </w:rPr>
        <w:t>支队伍，报满为止。</w:t>
      </w:r>
    </w:p>
    <w:p>
      <w:pPr>
        <w:widowControl/>
        <w:spacing w:line="560" w:lineRule="exact"/>
        <w:ind w:firstLine="602"/>
        <w:jc w:val="left"/>
        <w:rPr>
          <w:rFonts w:hint="eastAsia" w:ascii="仿宋_GB2312" w:hAnsi="楷体" w:eastAsia="仿宋_GB2312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</w:t>
      </w:r>
      <w:r>
        <w:rPr>
          <w:rFonts w:hint="eastAsia" w:ascii="仿宋_GB2312" w:hAnsi="楷体" w:eastAsia="仿宋_GB2312" w:cs="仿宋"/>
          <w:color w:val="auto"/>
          <w:sz w:val="30"/>
          <w:szCs w:val="30"/>
        </w:rPr>
        <w:t>竞赛内容：</w:t>
      </w:r>
    </w:p>
    <w:p>
      <w:pPr>
        <w:widowControl/>
        <w:spacing w:line="560" w:lineRule="exact"/>
        <w:ind w:firstLine="602"/>
        <w:jc w:val="left"/>
        <w:rPr>
          <w:rFonts w:hint="eastAsia" w:ascii="仿宋_GB2312" w:hAnsi="楷体" w:eastAsia="仿宋_GB2312" w:cs="仿宋"/>
          <w:color w:val="auto"/>
          <w:sz w:val="30"/>
          <w:szCs w:val="30"/>
        </w:rPr>
      </w:pPr>
    </w:p>
    <w:p>
      <w:pPr>
        <w:widowControl/>
        <w:spacing w:line="560" w:lineRule="exact"/>
        <w:ind w:firstLine="600"/>
        <w:jc w:val="left"/>
        <w:rPr>
          <w:rFonts w:hint="eastAsia" w:ascii="仿宋_GB2312" w:hAnsi="仿宋_GB2312" w:eastAsia="仿宋_GB2312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/>
          <w:color w:val="auto"/>
          <w:sz w:val="30"/>
          <w:szCs w:val="30"/>
          <w:lang w:val="en-US" w:eastAsia="zh-CN"/>
        </w:rPr>
        <w:t>本次比赛分成预赛和决赛两个阶段，预赛在决赛前由参赛选手自行安排，不限定CAD/CAM软件与加工设备，预赛任务书在决赛前两周发布，参赛选手需要根据任务书要求完成规定赛件的设计与加工，并能够与在决赛过程中完成的赛件进行装配。</w:t>
      </w:r>
    </w:p>
    <w:p>
      <w:pPr>
        <w:widowControl/>
        <w:spacing w:line="560" w:lineRule="exact"/>
        <w:ind w:firstLine="600"/>
        <w:jc w:val="left"/>
        <w:rPr>
          <w:rFonts w:ascii="仿宋_GB2312" w:hAnsi="仿宋_GB2312" w:eastAsia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/>
          <w:color w:val="auto"/>
          <w:sz w:val="30"/>
          <w:szCs w:val="30"/>
          <w:lang w:eastAsia="zh-CN"/>
        </w:rPr>
        <w:t>除赛前选手需完成规定赛件的设计、加工并按照比赛要求提交以外，</w:t>
      </w:r>
      <w:r>
        <w:rPr>
          <w:rFonts w:hint="eastAsia" w:ascii="仿宋_GB2312" w:hAnsi="仿宋_GB2312" w:eastAsia="仿宋_GB2312"/>
          <w:color w:val="auto"/>
          <w:sz w:val="30"/>
          <w:szCs w:val="30"/>
        </w:rPr>
        <w:t>在</w:t>
      </w:r>
      <w:r>
        <w:rPr>
          <w:rFonts w:hint="eastAsia" w:ascii="仿宋_GB2312" w:hAnsi="仿宋_GB2312" w:eastAsia="仿宋_GB2312"/>
          <w:color w:val="auto"/>
          <w:sz w:val="30"/>
          <w:szCs w:val="30"/>
          <w:lang w:eastAsia="zh-CN"/>
        </w:rPr>
        <w:t>正式比赛的</w:t>
      </w:r>
      <w:r>
        <w:rPr>
          <w:rFonts w:hint="eastAsia" w:ascii="仿宋_GB2312" w:hAnsi="仿宋_GB2312" w:eastAsia="仿宋_GB2312"/>
          <w:color w:val="auto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/>
          <w:color w:val="auto"/>
          <w:sz w:val="30"/>
          <w:szCs w:val="30"/>
        </w:rPr>
        <w:t>个小时内，根据给定任务书和工程图、零件模型（3D）等，利用赛场提供的数控机床、相关软件平台完成工艺设计→数控编程→五轴零件加工→在机检测→生成检测数据报告</w:t>
      </w:r>
      <w:r>
        <w:rPr>
          <w:rFonts w:hint="eastAsia" w:ascii="仿宋_GB2312" w:hAnsi="仿宋_GB2312" w:eastAsia="仿宋_GB2312"/>
          <w:color w:val="auto"/>
          <w:sz w:val="30"/>
          <w:szCs w:val="30"/>
          <w:lang w:eastAsia="zh-CN"/>
        </w:rPr>
        <w:t>，最后根据任务书和工程图要求完成零件装配</w:t>
      </w:r>
      <w:r>
        <w:rPr>
          <w:rFonts w:hint="eastAsia" w:ascii="仿宋_GB2312" w:hAnsi="仿宋_GB2312" w:eastAsia="仿宋_GB2312"/>
          <w:color w:val="auto"/>
          <w:sz w:val="30"/>
          <w:szCs w:val="30"/>
        </w:rPr>
        <w:t>。</w:t>
      </w:r>
    </w:p>
    <w:p>
      <w:pPr>
        <w:spacing w:line="560" w:lineRule="exact"/>
        <w:ind w:left="420" w:leftChars="200"/>
        <w:jc w:val="left"/>
        <w:rPr>
          <w:rFonts w:ascii="仿宋_GB2312" w:hAnsi="仿宋_GB2312" w:eastAsia="仿宋_GB2312"/>
          <w:b/>
          <w:bCs/>
          <w:color w:val="auto"/>
          <w:sz w:val="30"/>
          <w:szCs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 xml:space="preserve"> (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)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eastAsia="zh-CN"/>
        </w:rPr>
        <w:t>工艺规划与数控编程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(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val="en-US" w:eastAsia="zh-CN"/>
        </w:rPr>
        <w:t>10</w:t>
      </w:r>
      <w:r>
        <w:rPr>
          <w:rFonts w:ascii="仿宋_GB2312" w:hAnsi="仿宋_GB2312" w:eastAsia="仿宋_GB2312"/>
          <w:b/>
          <w:bCs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)</w:t>
      </w:r>
    </w:p>
    <w:p>
      <w:pPr>
        <w:ind w:firstLine="601"/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根据任务书，完成对指定工件的加工工艺规划与数控编程。</w:t>
      </w:r>
    </w:p>
    <w:p>
      <w:pPr>
        <w:ind w:firstLine="601"/>
        <w:rPr>
          <w:rFonts w:ascii="仿宋_GB2312" w:hAnsi="仿宋_GB2312" w:eastAsia="仿宋_GB2312"/>
          <w:b/>
          <w:bCs/>
          <w:color w:val="auto"/>
          <w:sz w:val="30"/>
          <w:szCs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(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)五轴数控加工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eastAsia="zh-CN"/>
        </w:rPr>
        <w:t>并装配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(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val="en-US" w:eastAsia="zh-CN"/>
        </w:rPr>
        <w:t>7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5</w:t>
      </w:r>
      <w:r>
        <w:rPr>
          <w:rFonts w:ascii="仿宋_GB2312" w:hAnsi="仿宋_GB2312" w:eastAsia="仿宋_GB2312"/>
          <w:b/>
          <w:bCs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)</w:t>
      </w:r>
    </w:p>
    <w:p>
      <w:pPr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根据数控编程文件，利用提供的设备及工具、刀具等完成测头标定、毛坯位置找正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铣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磨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加工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、零件装配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。</w:t>
      </w:r>
    </w:p>
    <w:p>
      <w:pPr>
        <w:rPr>
          <w:rFonts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 xml:space="preserve">    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(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)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在机检测（1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lang w:val="en-US" w:eastAsia="zh-CN"/>
        </w:rPr>
        <w:t>0</w:t>
      </w: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%）</w:t>
      </w:r>
    </w:p>
    <w:p>
      <w:pPr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按任务书要求完成工件指定要素在机检测并输出检测报告。</w:t>
      </w:r>
    </w:p>
    <w:p>
      <w:pPr>
        <w:ind w:firstLine="602" w:firstLineChars="200"/>
        <w:rPr>
          <w:rFonts w:ascii="仿宋_GB2312" w:hAnsi="仿宋_GB2312" w:eastAsia="仿宋_GB2312"/>
          <w:b/>
          <w:bCs/>
          <w:color w:val="auto"/>
          <w:spacing w:val="-2"/>
          <w:sz w:val="30"/>
          <w:szCs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(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)职业素养与操作安全(5</w:t>
      </w:r>
      <w:r>
        <w:rPr>
          <w:rFonts w:ascii="仿宋_GB2312" w:hAnsi="仿宋_GB2312" w:eastAsia="仿宋_GB2312"/>
          <w:b/>
          <w:bCs/>
          <w:color w:val="auto"/>
          <w:sz w:val="30"/>
          <w:szCs w:val="30"/>
        </w:rPr>
        <w:t>%</w:t>
      </w:r>
      <w:r>
        <w:rPr>
          <w:rFonts w:hint="eastAsia" w:ascii="仿宋_GB2312" w:hAnsi="仿宋_GB2312" w:eastAsia="仿宋_GB2312"/>
          <w:b/>
          <w:bCs/>
          <w:color w:val="auto"/>
          <w:sz w:val="30"/>
          <w:szCs w:val="30"/>
        </w:rPr>
        <w:t>)</w:t>
      </w:r>
    </w:p>
    <w:p>
      <w:pPr>
        <w:ind w:firstLine="600" w:firstLineChars="200"/>
        <w:rPr>
          <w:rFonts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color w:val="auto"/>
          <w:sz w:val="30"/>
          <w:szCs w:val="30"/>
        </w:rPr>
        <w:t>在整个比赛期间，选手应严格遵遵守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职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业素养要求及安全操作规范，包括安全文明比赛、尊重裁判、着装</w:t>
      </w:r>
      <w:r>
        <w:rPr>
          <w:rFonts w:hint="eastAsia" w:ascii="仿宋" w:hAnsi="仿宋" w:eastAsia="仿宋" w:cs="仿宋"/>
          <w:color w:val="auto"/>
          <w:sz w:val="30"/>
          <w:szCs w:val="30"/>
          <w:lang w:eastAsia="zh-CN"/>
        </w:rPr>
        <w:t>规范</w:t>
      </w:r>
      <w:r>
        <w:rPr>
          <w:rFonts w:hint="eastAsia" w:ascii="仿宋" w:hAnsi="仿宋" w:eastAsia="仿宋" w:cs="仿宋"/>
          <w:color w:val="auto"/>
          <w:sz w:val="30"/>
          <w:szCs w:val="30"/>
        </w:rPr>
        <w:t>、操作规范、物料摆放整齐、清理清洁、资料归档完整等。</w:t>
      </w:r>
    </w:p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五、竞赛规则</w:t>
      </w:r>
    </w:p>
    <w:p>
      <w:pPr>
        <w:snapToGrid w:val="0"/>
        <w:spacing w:line="500" w:lineRule="exact"/>
        <w:ind w:firstLine="600"/>
        <w:jc w:val="left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（一）熟悉场地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1.选手报到结束后，执委会安排各参赛队（自愿）熟悉场地并进行现场演练（最多2天）。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2.熟悉场地时应严格遵守相关要求，严禁拥挤、喧哗，避免发生意外事故。</w:t>
      </w:r>
    </w:p>
    <w:p>
      <w:pPr>
        <w:snapToGrid w:val="0"/>
        <w:spacing w:line="500" w:lineRule="exact"/>
        <w:ind w:firstLine="600"/>
        <w:jc w:val="left"/>
        <w:rPr>
          <w:rFonts w:hint="eastAsia" w:ascii="仿宋" w:hAnsi="仿宋" w:eastAsia="仿宋" w:cs="仿宋"/>
          <w:b/>
          <w:bCs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（二）文明参赛要求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1.竞赛所用的相关设备、仪器、工量刃具、比赛服装等由大赛执委会统一提供。如需选手自带物品，物品清单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将在决</w:t>
      </w:r>
      <w:r>
        <w:rPr>
          <w:rFonts w:hint="eastAsia" w:ascii="仿宋_GB2312" w:hAnsi="仿宋_GB2312" w:eastAsia="仿宋_GB2312"/>
          <w:color w:val="auto"/>
          <w:sz w:val="30"/>
        </w:rPr>
        <w:t>赛前随样题公布。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2.参赛选手至少在比赛开始前30分钟到达指定地点检录，接受工作人员对身份、资格和证件的检查。竞赛计时开始时，选手未到的视为自动放弃。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3.比赛用仪器设备、赛位由抽签确定，不得擅自变更、调整。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4.选手在竞赛过程中不得擅自离开赛场，如有特殊情况，须经裁判同意。选手休息、饮水、上洗手间等耗费的时间，统一计在竞赛时间内。竞赛计时以赛场设置的时钟为准。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5.竞赛期间，选手不得将手机等通信工具带入赛场。非同组选手之间不得以任何方式传递信息，如传递纸条，用手势表达，使用暗语等。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6.赛场内禁止喧哗，不得有影响其他选手完成工作任务的行为。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7.爱护赛场提供的器材，不得移动赛场内台桌、设备和其他物品的位置，不得故意损坏设备和仪器；比赛过程中，参赛选手须严格遵守相关操作规程，确保人身及设备安全，并接受裁判员的监督和警示。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8.比赛过程中，不得与非同组选手讨论，不得旁窥其他选手的操作。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9.有事应先举手示意并与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现场</w:t>
      </w:r>
      <w:r>
        <w:rPr>
          <w:rFonts w:hint="eastAsia" w:ascii="仿宋_GB2312" w:hAnsi="仿宋_GB2312" w:eastAsia="仿宋_GB2312"/>
          <w:color w:val="auto"/>
          <w:sz w:val="30"/>
        </w:rPr>
        <w:t>裁判员协商，尊重裁判员</w:t>
      </w:r>
      <w:r>
        <w:rPr>
          <w:rFonts w:hint="eastAsia" w:ascii="仿宋_GB2312" w:hAnsi="仿宋_GB2312" w:eastAsia="仿宋_GB2312"/>
          <w:color w:val="auto"/>
          <w:sz w:val="30"/>
          <w:lang w:eastAsia="zh-CN"/>
        </w:rPr>
        <w:t>，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服从安排</w:t>
      </w:r>
      <w:r>
        <w:rPr>
          <w:rFonts w:hint="eastAsia" w:ascii="仿宋_GB2312" w:hAnsi="仿宋_GB2312" w:eastAsia="仿宋_GB2312"/>
          <w:color w:val="auto"/>
          <w:sz w:val="30"/>
        </w:rPr>
        <w:t>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10.参赛选手应在赛位的计算机上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指定</w:t>
      </w:r>
      <w:r>
        <w:rPr>
          <w:rFonts w:hint="eastAsia" w:ascii="仿宋_GB2312" w:hAnsi="仿宋_GB2312" w:eastAsia="仿宋_GB2312"/>
          <w:color w:val="auto"/>
          <w:sz w:val="30"/>
        </w:rPr>
        <w:t>文件夹内存储比赛文档</w:t>
      </w:r>
      <w:r>
        <w:rPr>
          <w:rFonts w:hint="eastAsia" w:ascii="仿宋_GB2312" w:hAnsi="仿宋_GB2312" w:eastAsia="仿宋_GB2312"/>
          <w:color w:val="auto"/>
          <w:sz w:val="30"/>
          <w:lang w:eastAsia="zh-CN"/>
        </w:rPr>
        <w:t>，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不允许做违反规定的标记；比赛文档错存、漏存，责任自负</w:t>
      </w:r>
      <w:r>
        <w:rPr>
          <w:rFonts w:hint="eastAsia" w:ascii="仿宋_GB2312" w:hAnsi="仿宋_GB2312" w:eastAsia="仿宋_GB2312"/>
          <w:color w:val="auto"/>
          <w:sz w:val="30"/>
        </w:rPr>
        <w:t>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11.比赛过程中，选手因个人错误操作造成人身安全事故和设备故障时，裁判长有权中止该队比赛；如非选手个人原因出现设备故障而无法比赛，由裁判长做出调整(调换到备用赛位或调整至最后一场次参加比赛)；如裁判长确认设备故障可由技术支持人员排除故障后继续比赛，排除故障时间不计入比赛用时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12.参赛队需提前结束竞赛，应举手向裁判员示意，由裁判员记录比赛结束时间。结束比赛后参赛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选手</w:t>
      </w:r>
      <w:r>
        <w:rPr>
          <w:rFonts w:hint="eastAsia" w:ascii="仿宋_GB2312" w:hAnsi="仿宋_GB2312" w:eastAsia="仿宋_GB2312"/>
          <w:color w:val="auto"/>
          <w:sz w:val="30"/>
        </w:rPr>
        <w:t>不得再进行任何操作。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13.选手须按照要求提交比赛结果，配合裁判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员</w:t>
      </w:r>
      <w:r>
        <w:rPr>
          <w:rFonts w:hint="eastAsia" w:ascii="仿宋_GB2312" w:hAnsi="仿宋_GB2312" w:eastAsia="仿宋_GB2312"/>
          <w:color w:val="auto"/>
          <w:sz w:val="30"/>
        </w:rPr>
        <w:t>做好赛场情况记录，并与裁判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员</w:t>
      </w:r>
      <w:r>
        <w:rPr>
          <w:rFonts w:hint="eastAsia" w:ascii="仿宋_GB2312" w:hAnsi="仿宋_GB2312" w:eastAsia="仿宋_GB2312"/>
          <w:color w:val="auto"/>
          <w:sz w:val="30"/>
        </w:rPr>
        <w:t>一起签字确认，不得拒签。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14.竞赛结束后选手应先到指定地点，待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裁判</w:t>
      </w:r>
      <w:r>
        <w:rPr>
          <w:rFonts w:hint="eastAsia" w:ascii="仿宋_GB2312" w:hAnsi="仿宋_GB2312" w:eastAsia="仿宋_GB2312"/>
          <w:color w:val="auto"/>
          <w:sz w:val="30"/>
        </w:rPr>
        <w:t>员宣布竞赛结束，方可离开。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15.比赛过程中，所有比赛任务由选手自行完成，如有比赛任务不能自行完成，选手可以提出弃权，弃权部分不得分。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16.不乱摆放工具，不乱丢杂物，完成工作任务后应清洁赛位，整理工量刃具，废弃物品等不得遗留在赛位上。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17.文明用语，尊重裁判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员</w:t>
      </w:r>
      <w:r>
        <w:rPr>
          <w:rFonts w:hint="eastAsia" w:ascii="仿宋_GB2312" w:hAnsi="仿宋_GB2312" w:eastAsia="仿宋_GB2312"/>
          <w:color w:val="auto"/>
          <w:sz w:val="30"/>
        </w:rPr>
        <w:t>和其他选手。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18.任何人不得以任何方式暗示、指导、帮助参赛选手。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19.比赛过程中，除参加当场次比赛的选手、执行裁判员、现场工作人员和经批准的人员外，其他人员一律不得进入比赛现场；比赛结束后，参赛人员应根据指令及时退出比赛现场。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20.裁判长在比赛结束前15分钟提醒选手。裁判长发布比赛结束指令后所有参赛队应立即停止操作，按要求清理赛位，不得以任何理由拖延。</w:t>
      </w:r>
    </w:p>
    <w:p>
      <w:pPr>
        <w:snapToGrid w:val="0"/>
        <w:spacing w:line="500" w:lineRule="exact"/>
        <w:ind w:firstLine="600"/>
        <w:rPr>
          <w:rFonts w:hint="eastAsia"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21.参赛选手须经现场裁判员检查许可后方能离开赛场。选手不得将竞赛任务书、图纸、草稿纸和工具等与比赛有关的物品带离赛场。</w:t>
      </w:r>
    </w:p>
    <w:p>
      <w:pPr>
        <w:snapToGrid w:val="0"/>
        <w:spacing w:line="500" w:lineRule="exact"/>
        <w:ind w:firstLine="600"/>
        <w:jc w:val="left"/>
        <w:rPr>
          <w:rFonts w:ascii="华文楷体" w:hAnsi="华文楷体" w:eastAsia="华文楷体"/>
          <w:b/>
          <w:bCs/>
          <w:color w:val="auto"/>
          <w:sz w:val="30"/>
        </w:rPr>
      </w:pPr>
      <w:r>
        <w:rPr>
          <w:rFonts w:hint="eastAsia" w:ascii="华文楷体" w:hAnsi="华文楷体" w:eastAsia="华文楷体"/>
          <w:b/>
          <w:bCs/>
          <w:color w:val="auto"/>
          <w:sz w:val="30"/>
        </w:rPr>
        <w:t>（三）成绩评定及公布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1.组织分工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在赛项执委会的领导下成立检录组、裁判组和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监督</w:t>
      </w:r>
      <w:r>
        <w:rPr>
          <w:rFonts w:hint="eastAsia" w:ascii="仿宋_GB2312" w:hAnsi="仿宋_GB2312" w:eastAsia="仿宋_GB2312"/>
          <w:color w:val="auto"/>
          <w:sz w:val="30"/>
        </w:rPr>
        <w:t>仲裁组。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（1）检录工作人员负责对参赛队伍（选手）进行点名登记、身份核对等工作。检录工作由赛项承办院校工作人员承担。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（2）裁判组实行“裁判长负责制”。裁判组设裁判长1名，全面负责赛项的裁判管理工作并处理比赛中出现的争议问题。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3）裁判员根据比赛需要分为加密裁判、现场裁判和评分裁判。加密裁判负责组织参赛队伍（选手）抽签，对参赛队信息、抽签代码、比赛作品等进行加密，加密裁判不参与评分工作。现场裁判按规定做好赛场记录，维护赛场纪律，评定参赛队的现场得分。评分裁判负责对参赛队伍（选手）的比赛任务完成、比赛表现按赛项评分标准进行评定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（4）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监督</w:t>
      </w:r>
      <w:r>
        <w:rPr>
          <w:rFonts w:hint="eastAsia" w:ascii="仿宋_GB2312" w:hAnsi="仿宋_GB2312" w:eastAsia="仿宋_GB2312"/>
          <w:color w:val="auto"/>
          <w:sz w:val="30"/>
        </w:rPr>
        <w:t>仲裁组负责</w:t>
      </w:r>
      <w:r>
        <w:rPr>
          <w:rFonts w:hint="eastAsia" w:ascii="仿宋_GB2312" w:hAnsi="仿宋_GB2312" w:eastAsia="仿宋_GB2312"/>
          <w:color w:val="auto"/>
          <w:sz w:val="30"/>
          <w:lang w:val="en-US" w:eastAsia="zh-CN"/>
        </w:rPr>
        <w:t>对比赛全过程进行监督，</w:t>
      </w:r>
      <w:r>
        <w:rPr>
          <w:rFonts w:hint="eastAsia" w:ascii="仿宋_GB2312" w:hAnsi="仿宋_GB2312" w:eastAsia="仿宋_GB2312"/>
          <w:color w:val="auto"/>
          <w:sz w:val="30"/>
        </w:rPr>
        <w:t>接受由参赛队领队提出的仲裁申诉，组织复议并公布复议结果。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2.成绩评分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（1）结果评分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评分裁判依据赛项评价标准对参赛队伍提交的竞赛作品进行评判。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b/>
          <w:bCs/>
          <w:color w:val="auto"/>
          <w:sz w:val="30"/>
        </w:rPr>
      </w:pPr>
      <w:r>
        <w:rPr>
          <w:rFonts w:hint="eastAsia" w:ascii="仿宋_GB2312" w:hAnsi="仿宋_GB2312" w:eastAsia="仿宋_GB2312"/>
          <w:b/>
          <w:bCs/>
          <w:color w:val="auto"/>
          <w:sz w:val="30"/>
        </w:rPr>
        <w:t>（2）抽检复核</w:t>
      </w:r>
    </w:p>
    <w:p>
      <w:pPr>
        <w:snapToGrid w:val="0"/>
        <w:spacing w:line="500" w:lineRule="exact"/>
        <w:ind w:firstLine="600"/>
        <w:rPr>
          <w:rFonts w:ascii="仿宋_GB2312" w:hAnsi="仿宋_GB2312" w:eastAsia="仿宋_GB2312"/>
          <w:color w:val="auto"/>
          <w:sz w:val="30"/>
        </w:rPr>
      </w:pPr>
      <w:r>
        <w:rPr>
          <w:rFonts w:hint="eastAsia" w:ascii="仿宋_GB2312" w:hAnsi="仿宋_GB2312" w:eastAsia="仿宋_GB2312"/>
          <w:color w:val="auto"/>
          <w:sz w:val="30"/>
        </w:rPr>
        <w:t>为保障成绩统计的准确性，执委会对赛项总成绩进行抽检复核。错误率超过5%的，则认定为非小概率事件，裁判组需对所有成绩进行复核。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六、技术规范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bCs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bCs/>
          <w:color w:val="auto"/>
          <w:kern w:val="0"/>
          <w:sz w:val="30"/>
          <w:szCs w:val="30"/>
        </w:rPr>
        <w:t>（一）职业道德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1.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敬业爱岗，忠于职守，严于律已。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2.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刻苦学习，钻研业务，善于观察，勤于思考。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3.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认真负责，吃苦耐劳。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4.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遵守操作规程，安全、文明生产。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5.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着装规范整洁，爱护设备，保持工作环境清洁有序。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color w:val="auto"/>
          <w:kern w:val="0"/>
          <w:sz w:val="30"/>
          <w:szCs w:val="30"/>
        </w:rPr>
        <w:t>（二）相关知识与技能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color w:val="auto"/>
          <w:kern w:val="0"/>
          <w:sz w:val="30"/>
          <w:szCs w:val="30"/>
        </w:rPr>
        <w:t>1、理论知识：</w:t>
      </w:r>
    </w:p>
    <w:p>
      <w:pPr>
        <w:snapToGrid w:val="0"/>
        <w:spacing w:line="560" w:lineRule="exact"/>
        <w:ind w:firstLine="150" w:firstLineChars="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 xml:space="preserve"> （1）能够看懂较复杂程度的机械零件2D、3D图，明白各项技术要求的含义。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（2）熟悉机械制造工艺，能根据给定的零件图和给定的机床和刀具，编制加工工艺。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（3）能够掌握五轴联动机床操作原理，工件找正定位及夹紧方法。</w:t>
      </w:r>
    </w:p>
    <w:p>
      <w:pPr>
        <w:snapToGrid w:val="0"/>
        <w:spacing w:line="560" w:lineRule="exact"/>
        <w:ind w:firstLine="300" w:firstLineChars="10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（4）熟悉常用的CAD/CAM软件3D绘图功能和加工程序编制功能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（5）熟悉常用金属材料的切削特点，熟悉各种刀具的使用方法，适用工况，会根据切削状态适当调整刀具切削参数。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（6）熟练掌握各种通用量具的校对和使用方法。</w:t>
      </w:r>
    </w:p>
    <w:p>
      <w:pPr>
        <w:snapToGrid w:val="0"/>
        <w:spacing w:line="560" w:lineRule="exact"/>
        <w:ind w:firstLine="300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（7）熟练掌握生产操作过程中的安全知识，对于紧急情况的处理办法。</w:t>
      </w:r>
    </w:p>
    <w:p>
      <w:pPr>
        <w:snapToGrid w:val="0"/>
        <w:spacing w:line="560" w:lineRule="exact"/>
        <w:ind w:firstLine="301" w:firstLineChars="1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bCs/>
          <w:color w:val="auto"/>
          <w:kern w:val="0"/>
          <w:sz w:val="30"/>
          <w:szCs w:val="30"/>
        </w:rPr>
        <w:t>2、技能要求：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（1）五轴机床操作</w:t>
      </w:r>
    </w:p>
    <w:p>
      <w:pPr>
        <w:snapToGrid w:val="0"/>
        <w:spacing w:line="560" w:lineRule="exact"/>
        <w:ind w:firstLine="150" w:firstLineChars="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 xml:space="preserve">   掌握机床的结构原理及各项功能的使用；熟练使用红外探针进行五轴转台原点标定。</w:t>
      </w:r>
    </w:p>
    <w:p>
      <w:pPr>
        <w:snapToGrid w:val="0"/>
        <w:spacing w:line="560" w:lineRule="exact"/>
        <w:ind w:firstLine="150" w:firstLineChars="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 xml:space="preserve"> 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（2）工件装夹定位和找正。</w:t>
      </w:r>
    </w:p>
    <w:p>
      <w:pPr>
        <w:snapToGrid w:val="0"/>
        <w:spacing w:line="560" w:lineRule="exact"/>
        <w:ind w:left="596" w:leftChars="284" w:firstLine="0" w:firstLineChars="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掌握工件定位找正，装夹工件，能严格按照工艺要求装夹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。</w:t>
      </w:r>
    </w:p>
    <w:p>
      <w:pPr>
        <w:snapToGrid w:val="0"/>
        <w:spacing w:line="560" w:lineRule="exact"/>
        <w:ind w:firstLine="450" w:firstLineChars="15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（3）在机测量系统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掌握使用机床在机测量系统，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使用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在机测量程序对复杂零件曲面进行测量，并根据工艺指标评价测量结果是否合格完成自检。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（4）CAD/CAM软件使用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熟练掌握利用CAD/CAM软件进行较复杂程度的零件（含复杂曲面）程序编制。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（5）模拟仿真加工</w:t>
      </w:r>
    </w:p>
    <w:p>
      <w:pPr>
        <w:snapToGrid w:val="0"/>
        <w:spacing w:line="560" w:lineRule="exact"/>
        <w:ind w:firstLine="600" w:firstLineChars="20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能够利用给定的模拟仿真软件，根据程序单按顺序对加工程序进行逐一模拟仿真，能检测和识别各部分的干涉碰撞以及超行程的问题。</w:t>
      </w:r>
    </w:p>
    <w:p>
      <w:pPr>
        <w:snapToGrid w:val="0"/>
        <w:spacing w:line="560" w:lineRule="exact"/>
        <w:ind w:left="0" w:leftChars="0" w:firstLine="416" w:firstLineChars="139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（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val="en-US" w:eastAsia="zh-CN"/>
        </w:rPr>
        <w:t>6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）产品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装配</w:t>
      </w:r>
    </w:p>
    <w:p>
      <w:pPr>
        <w:snapToGrid w:val="0"/>
        <w:spacing w:line="560" w:lineRule="exact"/>
        <w:ind w:firstLine="600" w:firstLineChars="200"/>
        <w:jc w:val="left"/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能进行简单产品装配，包括紧固件的安装调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eastAsia="zh-CN"/>
        </w:rPr>
        <w:t>整。</w:t>
      </w:r>
    </w:p>
    <w:p>
      <w:pPr>
        <w:snapToGrid w:val="0"/>
        <w:spacing w:line="560" w:lineRule="exact"/>
        <w:ind w:firstLine="450" w:firstLineChars="15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（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  <w:lang w:val="en-US" w:eastAsia="zh-CN"/>
        </w:rPr>
        <w:t>7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）安全生产、文明生产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不违规操作，做到工艺文件不齐备不动刀，程序未仿真不动刀，零点、刀具未校对不动刀。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能够遵照定置管理制度，妥善保管刀具、量具、夹具、及周转中的零件。保持工位整齐、整洁，机床简单保养。</w:t>
      </w:r>
    </w:p>
    <w:p>
      <w:pPr>
        <w:snapToGrid w:val="0"/>
        <w:spacing w:line="560" w:lineRule="exact"/>
        <w:ind w:firstLine="602" w:firstLineChars="200"/>
        <w:jc w:val="left"/>
        <w:rPr>
          <w:rFonts w:ascii="仿宋_GB2312" w:hAnsi="宋体" w:eastAsia="仿宋_GB2312" w:cs="Arial"/>
          <w:b/>
          <w:bCs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b/>
          <w:bCs/>
          <w:color w:val="auto"/>
          <w:kern w:val="0"/>
          <w:sz w:val="30"/>
          <w:szCs w:val="30"/>
        </w:rPr>
        <w:t>（三）职业标准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1</w:t>
      </w: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 xml:space="preserve"> 竞赛按照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加工中心操作工（五轴高级工）国家职业标准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要求实施。</w:t>
      </w:r>
    </w:p>
    <w:p>
      <w:pPr>
        <w:snapToGrid w:val="0"/>
        <w:spacing w:line="560" w:lineRule="exact"/>
        <w:ind w:firstLine="600" w:firstLineChars="200"/>
        <w:jc w:val="left"/>
        <w:rPr>
          <w:rFonts w:ascii="仿宋_GB2312" w:hAnsi="宋体" w:eastAsia="仿宋_GB2312" w:cs="Arial"/>
          <w:color w:val="auto"/>
          <w:kern w:val="0"/>
          <w:sz w:val="30"/>
          <w:szCs w:val="30"/>
        </w:rPr>
      </w:pP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2</w:t>
      </w:r>
      <w:r>
        <w:rPr>
          <w:rFonts w:ascii="仿宋_GB2312" w:hAnsi="宋体" w:eastAsia="仿宋_GB2312" w:cs="Arial"/>
          <w:color w:val="auto"/>
          <w:kern w:val="0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 xml:space="preserve"> 竞赛按照</w:t>
      </w:r>
      <w:r>
        <w:rPr>
          <w:rFonts w:hint="eastAsia" w:ascii="仿宋_GB2312" w:hAnsi="宋体" w:eastAsia="仿宋_GB2312" w:cs="Arial"/>
          <w:color w:val="auto"/>
          <w:kern w:val="0"/>
          <w:sz w:val="30"/>
          <w:szCs w:val="30"/>
        </w:rPr>
        <w:t>数控程序员（高级工）国家职业标准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要求实施。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七、技术平台</w:t>
      </w:r>
    </w:p>
    <w:p>
      <w:pPr>
        <w:widowControl/>
        <w:spacing w:line="560" w:lineRule="exact"/>
        <w:ind w:firstLine="600"/>
        <w:jc w:val="left"/>
        <w:rPr>
          <w:rFonts w:ascii="华文楷体" w:hAnsi="华文楷体" w:eastAsia="华文楷体"/>
          <w:b/>
          <w:bCs/>
          <w:color w:val="auto"/>
          <w:sz w:val="28"/>
          <w:szCs w:val="28"/>
        </w:rPr>
      </w:pPr>
      <w:r>
        <w:rPr>
          <w:rFonts w:hint="eastAsia" w:ascii="华文楷体" w:hAnsi="华文楷体" w:eastAsia="华文楷体"/>
          <w:b/>
          <w:bCs/>
          <w:color w:val="auto"/>
          <w:sz w:val="28"/>
          <w:szCs w:val="28"/>
        </w:rPr>
        <w:t>（一）主要硬件技术规格</w:t>
      </w:r>
    </w:p>
    <w:tbl>
      <w:tblPr>
        <w:tblStyle w:val="6"/>
        <w:tblW w:w="87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2182"/>
        <w:gridCol w:w="4936"/>
        <w:gridCol w:w="94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器材名称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规格/技术参数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b/>
                <w:bCs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b/>
                <w:bCs/>
                <w:color w:val="auto"/>
                <w:sz w:val="24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</w:rPr>
              <w:t>1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计算机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每个工位配备两台，基本配置处理器Intel酷睿i7内存≥8G ，硬盘≥100G ，独立显卡4G，19寸及以上显示器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ascii="仿宋_GB2312" w:hAnsi="华文中宋" w:eastAsia="仿宋_GB2312"/>
                <w:color w:val="auto"/>
                <w:sz w:val="24"/>
              </w:rPr>
              <w:t>30</w:t>
            </w:r>
            <w:r>
              <w:rPr>
                <w:rFonts w:hint="eastAsia" w:ascii="仿宋_GB2312" w:hAnsi="华文中宋" w:eastAsia="仿宋_GB2312"/>
                <w:color w:val="auto"/>
                <w:sz w:val="24"/>
              </w:rPr>
              <w:t>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</w:rPr>
              <w:t>2</w:t>
            </w:r>
          </w:p>
          <w:p>
            <w:pPr>
              <w:snapToGrid w:val="0"/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北京精雕集团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五轴精雕高速机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JDGR400_A15SH</w:t>
            </w:r>
          </w:p>
          <w:p>
            <w:pPr>
              <w:snapToGrid w:val="0"/>
              <w:jc w:val="center"/>
              <w:rPr>
                <w:rFonts w:ascii="宋体"/>
                <w:color w:val="auto"/>
                <w:sz w:val="24"/>
              </w:rPr>
            </w:pP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X/Y/Z轴运动定位精度： 0.002/0.002/0.002mm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A/C轴运动定位精度： 8"/8"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X/Y/Z轴重复定位精度： 0.0018/0.0018/0.0018mm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A/C轴重复定位精度： 5"/5"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X/Y/Z轴工作行程： 450/700/400mm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A/C轴回转角度： -120～90°/360°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工作台尺寸： Φ400mm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最大工作负载： 150Kg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主轴最高转速： 20000rpm（Ф150）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刀柄规格： HSK-A50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X/Y/Z快速移动速度： 15m/min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A/C轴快速旋转速度： 30/50rpm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X/Y/Z最高切削进给速度： 10m/min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A/C轴最高切削进给速度： 15/25rpm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工作电压： 三相380V/50Hz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驱动系统： 交流伺服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气源压力： ≥0.52MPa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机床总重： 10000Kg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数控系统： 国产JD50数控系统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对刀仪： 配备自动对刀仪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精雕在机测量系统：加装雷尼绍在机测量系统，可以实现“在机测量和智能修正”功能。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①测量系统：包括增加测头接口、软件升级、刀库改造、测头刀柄等内容。</w:t>
            </w:r>
          </w:p>
          <w:p>
            <w:pPr>
              <w:widowControl/>
              <w:tabs>
                <w:tab w:val="left" w:pos="3777"/>
              </w:tabs>
              <w:jc w:val="lef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②雷尼绍OMP40-2测头及接收器：项目包括测头、接收器、接收器支架、线缆护管及测针1支。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1</w:t>
            </w:r>
            <w:r>
              <w:rPr>
                <w:rFonts w:ascii="仿宋_GB2312" w:hAnsi="仿宋" w:eastAsia="仿宋_GB2312"/>
                <w:color w:val="auto"/>
                <w:sz w:val="24"/>
              </w:rPr>
              <w:t>5</w:t>
            </w:r>
            <w:r>
              <w:rPr>
                <w:rFonts w:hint="eastAsia" w:ascii="仿宋_GB2312" w:hAnsi="仿宋" w:eastAsia="仿宋_GB2312"/>
                <w:color w:val="auto"/>
                <w:sz w:val="24"/>
              </w:rPr>
              <w:t>台</w:t>
            </w:r>
          </w:p>
          <w:p>
            <w:pPr>
              <w:snapToGrid w:val="0"/>
              <w:jc w:val="center"/>
              <w:rPr>
                <w:rFonts w:ascii="宋体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华文中宋" w:eastAsia="仿宋_GB2312"/>
                <w:color w:val="auto"/>
                <w:sz w:val="24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</w:rPr>
              <w:t>3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default" w:ascii="仿宋_GB2312" w:hAnsi="仿宋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lang w:val="en-US" w:eastAsia="zh-CN"/>
              </w:rPr>
              <w:t>卡尔蔡司</w:t>
            </w:r>
          </w:p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三坐标测量机SPECTRUM 7/10/6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测量范围：X=700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mm 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>Y=1000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mm</w:t>
            </w:r>
            <w:r>
              <w:rPr>
                <w:rFonts w:hint="eastAsia" w:ascii="仿宋" w:hAnsi="仿宋" w:eastAsia="仿宋"/>
                <w:color w:val="auto"/>
                <w:sz w:val="24"/>
                <w:lang w:eastAsia="zh-CN"/>
              </w:rPr>
              <w:t xml:space="preserve"> Z=600</w:t>
            </w: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mm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长度测量误差：1.9 + L/250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default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形状测量误差;1.9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2台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中宋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lang w:val="en-US" w:eastAsia="zh-CN"/>
              </w:rPr>
              <w:t>4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lang w:eastAsia="zh-CN"/>
              </w:rPr>
              <w:t>卡尔蔡司</w:t>
            </w:r>
          </w:p>
          <w:p>
            <w:pPr>
              <w:snapToGrid w:val="0"/>
              <w:jc w:val="center"/>
              <w:rPr>
                <w:rFonts w:hint="eastAsia" w:ascii="仿宋_GB2312" w:hAnsi="仿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lang w:eastAsia="zh-CN"/>
              </w:rPr>
              <w:t>扫描仪</w:t>
            </w:r>
          </w:p>
          <w:p>
            <w:pPr>
              <w:snapToGrid w:val="0"/>
              <w:jc w:val="center"/>
              <w:rPr>
                <w:rFonts w:hint="eastAsia" w:ascii="仿宋_GB2312" w:hAnsi="仿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lang w:eastAsia="zh-CN"/>
              </w:rPr>
              <w:t>ATOS Q 8M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>镜头组1：MV170 for ATOS Q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textAlignment w:val="auto"/>
              <w:rPr>
                <w:rFonts w:hint="default" w:ascii="仿宋" w:hAnsi="仿宋" w:eastAsia="仿宋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lang w:val="en-US" w:eastAsia="zh-CN"/>
              </w:rPr>
              <w:t xml:space="preserve">镜头组2; MV350 for ATOS Q 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default" w:ascii="仿宋_GB2312" w:hAnsi="仿宋" w:eastAsia="仿宋_GB2312"/>
                <w:color w:val="auto"/>
                <w:sz w:val="24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  <w:lang w:val="en-US" w:eastAsia="zh-CN"/>
              </w:rPr>
              <w:t>2台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华文中宋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lang w:val="en-US" w:eastAsia="zh-CN"/>
              </w:rPr>
              <w:t>5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工作台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配备零点快换、数控加工用刀架、换刀工具、锁刀座、换刀工作台等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" w:eastAsia="仿宋_GB2312"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hint="eastAsia" w:ascii="仿宋_GB2312" w:hAnsi="仿宋_GB2312" w:eastAsia="仿宋_GB2312"/>
                <w:color w:val="auto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  <w:lang w:val="en-US" w:eastAsia="zh-CN"/>
              </w:rPr>
              <w:t>6</w:t>
            </w:r>
          </w:p>
        </w:tc>
        <w:tc>
          <w:tcPr>
            <w:tcW w:w="21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工量刃具</w:t>
            </w:r>
          </w:p>
        </w:tc>
        <w:tc>
          <w:tcPr>
            <w:tcW w:w="4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rPr>
                <w:rFonts w:ascii="仿宋_GB2312" w:hAnsi="仿宋_GB2312" w:eastAsia="仿宋_GB2312"/>
                <w:color w:val="auto"/>
                <w:sz w:val="24"/>
              </w:rPr>
            </w:pPr>
            <w:r>
              <w:rPr>
                <w:rFonts w:hint="eastAsia" w:ascii="仿宋_GB2312" w:hAnsi="仿宋_GB2312" w:eastAsia="仿宋_GB2312"/>
                <w:color w:val="auto"/>
                <w:sz w:val="24"/>
              </w:rPr>
              <w:t>数控加工刀具、刀柄、量具若干（具体清单随样题公布）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/>
                <w:color w:val="auto"/>
                <w:sz w:val="24"/>
              </w:rPr>
            </w:pPr>
          </w:p>
        </w:tc>
      </w:tr>
    </w:tbl>
    <w:p>
      <w:pPr>
        <w:widowControl/>
        <w:spacing w:line="560" w:lineRule="exact"/>
        <w:ind w:firstLine="600"/>
        <w:jc w:val="left"/>
        <w:rPr>
          <w:rFonts w:ascii="华文楷体" w:hAnsi="华文楷体" w:eastAsia="华文楷体"/>
          <w:b/>
          <w:bCs/>
          <w:color w:val="auto"/>
          <w:sz w:val="30"/>
        </w:rPr>
      </w:pPr>
      <w:r>
        <w:rPr>
          <w:rFonts w:hint="eastAsia" w:ascii="华文楷体" w:hAnsi="华文楷体" w:eastAsia="华文楷体"/>
          <w:b/>
          <w:bCs/>
          <w:color w:val="auto"/>
          <w:sz w:val="30"/>
        </w:rPr>
        <w:t>（二）赛位主要专业软件清单</w:t>
      </w:r>
    </w:p>
    <w:tbl>
      <w:tblPr>
        <w:tblStyle w:val="6"/>
        <w:tblW w:w="87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7"/>
        <w:gridCol w:w="795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/>
                <w:b/>
                <w:bCs/>
                <w:color w:val="auto"/>
                <w:sz w:val="24"/>
              </w:rPr>
              <w:t>序号</w:t>
            </w:r>
          </w:p>
        </w:tc>
        <w:tc>
          <w:tcPr>
            <w:tcW w:w="7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center"/>
              <w:rPr>
                <w:rFonts w:ascii="宋体"/>
                <w:b/>
                <w:bCs/>
                <w:color w:val="auto"/>
                <w:sz w:val="24"/>
              </w:rPr>
            </w:pPr>
            <w:r>
              <w:rPr>
                <w:rFonts w:hint="eastAsia" w:ascii="宋体"/>
                <w:b/>
                <w:bCs/>
                <w:color w:val="auto"/>
                <w:sz w:val="24"/>
              </w:rPr>
              <w:t>软件名称与版本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exac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1</w:t>
            </w:r>
          </w:p>
        </w:tc>
        <w:tc>
          <w:tcPr>
            <w:tcW w:w="7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lef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Win7操作系统（64位）；WPS Office 2018中文版；搜狗拼音输入法、搜狗五笔输入法。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</w:rPr>
            </w:pPr>
            <w:r>
              <w:rPr>
                <w:rFonts w:hint="eastAsia" w:ascii="宋体"/>
                <w:color w:val="auto"/>
                <w:sz w:val="24"/>
              </w:rPr>
              <w:t>2</w:t>
            </w:r>
          </w:p>
        </w:tc>
        <w:tc>
          <w:tcPr>
            <w:tcW w:w="7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napToGrid w:val="0"/>
              <w:jc w:val="left"/>
              <w:rPr>
                <w:rFonts w:ascii="仿宋_GB2312" w:hAnsi="仿宋" w:eastAsia="仿宋_GB2312"/>
                <w:color w:val="auto"/>
                <w:sz w:val="24"/>
              </w:rPr>
            </w:pPr>
            <w:r>
              <w:rPr>
                <w:rFonts w:hint="eastAsia" w:ascii="仿宋_GB2312" w:hAnsi="仿宋" w:eastAsia="仿宋_GB2312"/>
                <w:color w:val="auto"/>
                <w:sz w:val="24"/>
              </w:rPr>
              <w:t>编程及仿真软件JDSoft_SurfMill 9.0</w:t>
            </w:r>
          </w:p>
        </w:tc>
      </w:tr>
    </w:tbl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八、成绩评定</w:t>
      </w:r>
    </w:p>
    <w:p>
      <w:pPr>
        <w:snapToGrid w:val="0"/>
        <w:spacing w:line="540" w:lineRule="exact"/>
        <w:ind w:firstLine="600" w:firstLineChars="200"/>
        <w:rPr>
          <w:rFonts w:ascii="Arial Narrow" w:hAnsi="Arial Narrow" w:eastAsia="仿宋_GB2312" w:cs="Arial"/>
          <w:color w:val="auto"/>
          <w:sz w:val="30"/>
          <w:szCs w:val="30"/>
        </w:rPr>
      </w:pPr>
      <w:bookmarkStart w:id="0" w:name="_Hlk15306824"/>
      <w:r>
        <w:rPr>
          <w:rFonts w:hint="eastAsia" w:ascii="Arial Narrow" w:hAnsi="Arial Narrow" w:eastAsia="仿宋_GB2312" w:cs="Arial"/>
          <w:color w:val="auto"/>
          <w:sz w:val="30"/>
          <w:szCs w:val="30"/>
        </w:rPr>
        <w:t>公开赛项评分标准和评分方式，赛项最终得分按百分制计分。成绩评定必须在公开、公平、公正、独立、透明的条件下进行。</w:t>
      </w:r>
    </w:p>
    <w:p>
      <w:pPr>
        <w:spacing w:line="360" w:lineRule="auto"/>
        <w:ind w:firstLine="600" w:firstLineChars="200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（一）评分原则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采用过程评价与结果评价相结合、能力评价与职业素养评价相结合的方式。为了保证评判“公平、公正、公开”，采取以下措施：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1.赛前一个月公开样题一套，公布在机械工业发展中心网页（www.cmedc.com），赛题与样题偏差不超过30%。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2.技术人员赛前统一调试各比赛设备，保证技术平台条件一致。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3.裁判队伍赛前封闭培训，统一评判标准。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4.工件测量结果由三坐标测量机等进行检测。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5.加强试题保密工作。</w:t>
      </w:r>
    </w:p>
    <w:bookmarkEnd w:id="0"/>
    <w:p>
      <w:pPr>
        <w:spacing w:line="360" w:lineRule="auto"/>
        <w:ind w:firstLine="600" w:firstLineChars="200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（二）评分细则</w:t>
      </w:r>
    </w:p>
    <w:p>
      <w:pPr>
        <w:snapToGrid w:val="0"/>
        <w:spacing w:line="560" w:lineRule="exact"/>
        <w:ind w:firstLine="600"/>
        <w:jc w:val="left"/>
        <w:rPr>
          <w:rFonts w:ascii="仿宋_GB2312" w:eastAsia="仿宋_GB2312"/>
          <w:b/>
          <w:bCs/>
          <w:color w:val="auto"/>
          <w:sz w:val="30"/>
        </w:rPr>
      </w:pPr>
      <w:r>
        <w:rPr>
          <w:rFonts w:hint="eastAsia" w:ascii="仿宋_GB2312" w:eastAsia="仿宋_GB2312"/>
          <w:color w:val="auto"/>
          <w:sz w:val="30"/>
        </w:rPr>
        <w:t>本赛项总成绩100分，具体分数配比如下表：</w:t>
      </w:r>
    </w:p>
    <w:p>
      <w:pPr>
        <w:snapToGrid w:val="0"/>
        <w:spacing w:line="560" w:lineRule="exact"/>
        <w:ind w:firstLine="480"/>
        <w:jc w:val="center"/>
        <w:rPr>
          <w:rFonts w:ascii="仿宋_GB2312" w:hAnsi="仿宋_GB2312" w:eastAsia="仿宋_GB2312"/>
          <w:color w:val="auto"/>
          <w:sz w:val="24"/>
        </w:rPr>
      </w:pPr>
      <w:r>
        <w:rPr>
          <w:rFonts w:hint="eastAsia" w:ascii="仿宋_GB2312" w:hAnsi="仿宋_GB2312" w:eastAsia="仿宋_GB2312"/>
          <w:color w:val="auto"/>
          <w:sz w:val="24"/>
        </w:rPr>
        <w:t>比赛现场完成工作任务评分标准表</w:t>
      </w:r>
    </w:p>
    <w:tbl>
      <w:tblPr>
        <w:tblStyle w:val="6"/>
        <w:tblW w:w="8364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418"/>
        <w:gridCol w:w="708"/>
        <w:gridCol w:w="4678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709" w:type="dxa"/>
            <w:tcBorders>
              <w:top w:val="single" w:color="000000" w:sz="12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序号</w:t>
            </w:r>
          </w:p>
        </w:tc>
        <w:tc>
          <w:tcPr>
            <w:tcW w:w="141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一级指标</w:t>
            </w:r>
          </w:p>
        </w:tc>
        <w:tc>
          <w:tcPr>
            <w:tcW w:w="70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比例</w:t>
            </w:r>
          </w:p>
        </w:tc>
        <w:tc>
          <w:tcPr>
            <w:tcW w:w="4678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二级指标</w:t>
            </w:r>
          </w:p>
        </w:tc>
        <w:tc>
          <w:tcPr>
            <w:tcW w:w="851" w:type="dxa"/>
            <w:tcBorders>
              <w:top w:val="single" w:color="000000" w:sz="12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b/>
                <w:bCs/>
                <w:color w:val="auto"/>
                <w:spacing w:val="-2"/>
                <w:sz w:val="24"/>
                <w:shd w:val="clear" w:color="auto" w:fill="auto"/>
              </w:rPr>
              <w:t>分值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09" w:type="dxa"/>
            <w:tcBorders>
              <w:top w:val="single" w:color="000000" w:sz="4" w:space="0"/>
              <w:left w:val="single" w:color="000000" w:sz="12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1</w:t>
            </w:r>
          </w:p>
        </w:tc>
        <w:tc>
          <w:tcPr>
            <w:tcW w:w="14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数控编程与仿真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0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%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仿真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加工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09" w:type="dxa"/>
            <w:vMerge w:val="restart"/>
            <w:tcBorders>
              <w:top w:val="single" w:color="auto" w:sz="4" w:space="0"/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firstLine="236"/>
              <w:jc w:val="both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2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五轴数控加工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5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%</w:t>
            </w:r>
          </w:p>
        </w:tc>
        <w:tc>
          <w:tcPr>
            <w:tcW w:w="46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测头标定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ind w:firstLine="236"/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尺寸检测、表面粗糙度检测</w:t>
            </w: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eastAsia="zh-CN"/>
              </w:rPr>
              <w:t>、配合精度检测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  <w:p>
            <w:pPr>
              <w:jc w:val="center"/>
              <w:rPr>
                <w:rFonts w:hint="eastAsia" w:ascii="宋体" w:eastAsia="宋体"/>
                <w:color w:val="auto"/>
                <w:sz w:val="20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3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left"/>
              <w:rPr>
                <w:rFonts w:ascii="宋体"/>
                <w:color w:val="auto"/>
                <w:sz w:val="20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在机检测</w:t>
            </w:r>
          </w:p>
        </w:tc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10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%</w:t>
            </w:r>
          </w:p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在机测量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/>
                <w:color w:val="auto"/>
                <w:sz w:val="20"/>
                <w:shd w:val="clear" w:color="auto" w:fill="auto"/>
              </w:rPr>
            </w:pPr>
            <w:r>
              <w:rPr>
                <w:rFonts w:hint="eastAsia" w:ascii="宋体"/>
                <w:color w:val="auto"/>
                <w:sz w:val="24"/>
                <w:shd w:val="clear" w:color="auto" w:fill="auto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在机测量结果评判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/>
                <w:color w:val="auto"/>
                <w:sz w:val="24"/>
                <w:shd w:val="clear" w:color="auto" w:fill="auto"/>
              </w:rPr>
            </w:pPr>
            <w:r>
              <w:rPr>
                <w:rFonts w:hint="eastAsia" w:ascii="宋体"/>
                <w:color w:val="auto"/>
                <w:sz w:val="24"/>
                <w:shd w:val="clear" w:color="auto" w:fill="auto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eastAsia="zh-CN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  <w:lang w:val="en-US" w:eastAsia="zh-CN"/>
              </w:rPr>
              <w:t>4</w:t>
            </w:r>
          </w:p>
        </w:tc>
        <w:tc>
          <w:tcPr>
            <w:tcW w:w="141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360" w:lineRule="exact"/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职业素养与操作安全</w:t>
            </w:r>
          </w:p>
        </w:tc>
        <w:tc>
          <w:tcPr>
            <w:tcW w:w="70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5</w:t>
            </w:r>
            <w:r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%</w:t>
            </w: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zCs w:val="22"/>
                <w:shd w:val="clear" w:color="auto" w:fill="auto"/>
              </w:rPr>
              <w:t>公平竞赛，遵守赛场纪律，服从裁判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zCs w:val="22"/>
                <w:shd w:val="clear" w:color="auto" w:fill="auto"/>
              </w:rPr>
              <w:t>现场工具摆放整齐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场地清洁，现场安全、文明生产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709" w:type="dxa"/>
            <w:vMerge w:val="continue"/>
            <w:tcBorders>
              <w:left w:val="single" w:color="000000" w:sz="12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1418" w:type="dxa"/>
            <w:vMerge w:val="continue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708" w:type="dxa"/>
            <w:vMerge w:val="continue"/>
            <w:tcBorders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</w:p>
        </w:tc>
        <w:tc>
          <w:tcPr>
            <w:tcW w:w="4678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left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遵守机床安全操作规程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12" w:space="0"/>
              <w:right w:val="single" w:color="000000" w:sz="12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</w:pPr>
            <w:r>
              <w:rPr>
                <w:rFonts w:hint="eastAsia" w:ascii="仿宋_GB2312" w:hAnsi="仿宋_GB2312" w:eastAsia="仿宋_GB2312"/>
                <w:color w:val="auto"/>
                <w:spacing w:val="-2"/>
                <w:sz w:val="24"/>
                <w:shd w:val="clear" w:color="auto" w:fill="auto"/>
              </w:rPr>
              <w:t>2</w:t>
            </w:r>
          </w:p>
        </w:tc>
      </w:tr>
    </w:tbl>
    <w:p>
      <w:pPr>
        <w:snapToGrid w:val="0"/>
        <w:spacing w:line="540" w:lineRule="exact"/>
        <w:ind w:firstLine="600" w:firstLineChars="200"/>
        <w:rPr>
          <w:rFonts w:ascii="楷体" w:hAnsi="楷体" w:eastAsia="楷体" w:cs="仿宋"/>
          <w:color w:val="auto"/>
          <w:sz w:val="30"/>
          <w:szCs w:val="30"/>
        </w:rPr>
      </w:pPr>
      <w:r>
        <w:rPr>
          <w:rFonts w:hint="eastAsia" w:ascii="楷体" w:hAnsi="楷体" w:eastAsia="楷体" w:cs="仿宋"/>
          <w:color w:val="auto"/>
          <w:sz w:val="30"/>
          <w:szCs w:val="30"/>
        </w:rPr>
        <w:t>（三）奖项设置</w:t>
      </w:r>
    </w:p>
    <w:p>
      <w:pPr>
        <w:pStyle w:val="14"/>
        <w:tabs>
          <w:tab w:val="left" w:pos="425"/>
        </w:tabs>
        <w:spacing w:line="560" w:lineRule="exact"/>
        <w:ind w:firstLine="600" w:firstLineChars="200"/>
        <w:jc w:val="left"/>
        <w:outlineLvl w:val="2"/>
        <w:rPr>
          <w:rFonts w:ascii="仿宋_GB2312" w:hAnsi="宋体" w:eastAsia="仿宋_GB2312"/>
          <w:color w:val="auto"/>
          <w:sz w:val="30"/>
          <w:szCs w:val="30"/>
        </w:rPr>
      </w:pPr>
      <w:r>
        <w:rPr>
          <w:rFonts w:hint="eastAsia" w:ascii="仿宋_GB2312" w:hAnsi="宋体" w:eastAsia="仿宋_GB2312"/>
          <w:color w:val="auto"/>
          <w:sz w:val="30"/>
          <w:szCs w:val="30"/>
        </w:rPr>
        <w:t>1.赛项设团体</w:t>
      </w:r>
      <w:r>
        <w:rPr>
          <w:rFonts w:ascii="仿宋_GB2312" w:hAnsi="宋体" w:eastAsia="仿宋_GB2312"/>
          <w:color w:val="auto"/>
          <w:sz w:val="30"/>
          <w:szCs w:val="30"/>
        </w:rPr>
        <w:t>一、二、三等奖。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按照竞赛总成绩由高到低排序，</w:t>
      </w:r>
      <w:r>
        <w:rPr>
          <w:rFonts w:ascii="仿宋_GB2312" w:hAnsi="宋体" w:eastAsia="仿宋_GB2312"/>
          <w:color w:val="auto"/>
          <w:sz w:val="30"/>
          <w:szCs w:val="30"/>
        </w:rPr>
        <w:t>以实际参赛队总数为基数，一、二、三等奖获奖比例分别为10%、2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5</w:t>
      </w:r>
      <w:r>
        <w:rPr>
          <w:rFonts w:ascii="仿宋_GB2312" w:hAnsi="宋体" w:eastAsia="仿宋_GB2312"/>
          <w:color w:val="auto"/>
          <w:sz w:val="30"/>
          <w:szCs w:val="30"/>
        </w:rPr>
        <w:t>%、3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5</w:t>
      </w:r>
      <w:r>
        <w:rPr>
          <w:rFonts w:ascii="仿宋_GB2312" w:hAnsi="宋体" w:eastAsia="仿宋_GB2312"/>
          <w:color w:val="auto"/>
          <w:sz w:val="30"/>
          <w:szCs w:val="30"/>
        </w:rPr>
        <w:t>%（小数点后四舍五入）。</w:t>
      </w:r>
      <w:r>
        <w:rPr>
          <w:rFonts w:hint="eastAsia" w:ascii="仿宋_GB2312" w:hAnsi="宋体" w:eastAsia="仿宋_GB2312"/>
          <w:color w:val="auto"/>
          <w:sz w:val="30"/>
          <w:szCs w:val="30"/>
        </w:rPr>
        <w:t>当总分相同时，取并列名次。</w:t>
      </w:r>
    </w:p>
    <w:p>
      <w:pPr>
        <w:snapToGrid w:val="0"/>
        <w:spacing w:line="540" w:lineRule="exact"/>
        <w:ind w:firstLine="600" w:firstLineChars="200"/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2.获得团体一等奖参赛队的指导教师，由主办方授予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shd w:val="clear"/>
        </w:rPr>
        <w:t>“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  <w:shd w:val="clear"/>
        </w:rPr>
        <w:t>20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  <w:shd w:val="clear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highlight w:val="none"/>
          <w:shd w:val="clear"/>
        </w:rPr>
        <w:t>年度机械行业职业教育技能大赛优秀指导教师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  <w:shd w:val="clear"/>
        </w:rPr>
        <w:t>”，并颁发荣誉证</w:t>
      </w:r>
      <w:r>
        <w:rPr>
          <w:rFonts w:hint="eastAsia" w:ascii="仿宋_GB2312" w:hAnsi="仿宋_GB2312" w:eastAsia="仿宋_GB2312" w:cs="仿宋_GB2312"/>
          <w:bCs/>
          <w:color w:val="auto"/>
          <w:sz w:val="30"/>
          <w:szCs w:val="30"/>
        </w:rPr>
        <w:t>书。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bookmarkStart w:id="1" w:name="_GoBack"/>
      <w:bookmarkEnd w:id="1"/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九、赛项安全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（一）赛场所有人员（赛场管理与组织人员、裁判员、参赛员以及观摩人员）不得在竞赛现场内外吸烟，不听劝阻者给予通报批评或清退竞赛现场，造成严重后果的将依法处理。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（二）未经允许不得使用和移动竞赛场内的任何设施设备（包括消防器材等），工具使用后放回原处。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（三）选手在竞赛中必须遵守赛场的各项规章制度和操作规程，安全、合理的使用各种设施设备和工具，出现严重违章操作加工设备的，裁判视情节轻重进行批评和终止竞赛。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（四）选手参加实际操作竞赛前，应由参赛校进行安全教育。竞赛中如发现问题应及时解决，无法解决的问题应及时向裁判员报告，裁判员视情况予以判定，并协调处理。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（五）参赛选手不得触动非竞赛用仪器设备，对竞赛仪器设备造成损坏，由当事人单位承担赔偿责任（视情节而定），并通报批评；参赛选手若出现恶意破坏仪器设备等情节严重者将依法处理。</w:t>
      </w:r>
    </w:p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（六）参赛队竞赛期间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请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自行配备符合安全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eastAsia="zh-CN"/>
        </w:rPr>
        <w:t>作业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要求的工作服、安全帽和绝缘鞋等，并着承办单位统一提供的大赛马甲。安全帽、工装裤和绝缘鞋不允许出现院校名称，以及其他与院校有关标识，具体由裁判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员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决定是否符合竞赛使用，如违反规定视为违规处理。</w:t>
      </w:r>
    </w:p>
    <w:p>
      <w:pPr>
        <w:snapToGrid w:val="0"/>
        <w:spacing w:line="540" w:lineRule="exact"/>
        <w:ind w:firstLine="602" w:firstLineChars="200"/>
        <w:rPr>
          <w:rFonts w:hint="eastAsia" w:ascii="仿宋" w:hAnsi="仿宋" w:eastAsia="仿宋" w:cs="仿宋"/>
          <w:color w:val="auto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</w:rPr>
        <w:t>十、竞赛须知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（一）参赛队须知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参赛队在参赛期间应注意人身安全，并建议参赛队中的每位参赛学生赛前购买保险。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（二）指导教师须知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1.比赛过程中，除选手、执行裁判员、现场工作人员和经批准的人员外，其他人员一律不得进入比赛现场；比赛结束后，参赛人员应根据指令及时退出比赛现场，对不听劝阻、无理取闹者追究责任，并通报批评。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2.选手参赛期间，指导教师应确保学生的人身安全；如遇紧急情况，应及时与主办方和所在院校报告，并听从工作人员的现场安排。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（三）参赛选手须知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1.参赛选手应遵守比赛规则，尊重裁判、赛场工作人员和其他参赛选手，自觉遵守赛场秩序，服从管理。不得辱骂他人，不得打架斗殴。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2.参赛选手应佩戴参赛证，带齐身份证、注册的学生证。在赛场的着装，应符合职业要求。在赛场的表现，应体现自己良好的职业习惯和职业素养。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3.选手在竞赛过程中不得擅自离开赛场。如有特殊情况，须经裁判人员同意。选手休息、饮水、上洗手间等不安排专门用时，统一计在竞赛时间内。竞赛计时以赛场设置的时钟为准。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4.竞赛期间，选手不得将手机等通信工具带入赛场，未经检验的工具、电子存储器件，一律不能进入赛场。非同组选手之间不得以任何方式传递信息，如传递纸条、用手势表达信息、用暗语交换信息等。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5.爱护赛场提供的器材，不得故意损坏设备和仪器。比赛中参赛选手须严格遵守相关操作规程，确保人身及设备安全，并接受裁判员的监督和警示。因工具选择或使用不当，造成零件损坏、工伤事故或影响他人比赛，要酌情扣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6.遇事应先举手示意，并与裁判人员协商，按裁判人员的意见办理。比赛过程中需要去洗手间，应报告现场裁判，由裁判或赛场工作人员陪同离开赛场。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7.完成竞赛任务后，不得与其他选手讨论，不得旁窥其他选手的操作。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8.不乱摆放工具，不乱丢杂物，完成竞赛任务后清洁赛位、工具、线头、废弃物品，不得遗留在赛位上。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9.完成赛项任务要在比赛结束前离开赛场的参赛选手，需同现场裁判示意，在赛场记录上填写离场时间并签赛位号确认后，方可离开赛场到指定区域等候，离开赛场后不可再次进入。未完成工作任务，因病或其他原因需要终止比赛离开赛场，需经裁判长同意，在赛场记录表的相应栏目填写离场原因、离场时间并签赛位号确认后，方可离开；离开后，不能再次进入赛场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10.裁判发出停止比赛的指令后，选手应立即停止操作，在现场裁判的指挥下离开赛场到达指定的区域等候评分。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11.如对裁判员的执裁有异议，可在2小时内由领队向大赛仲裁以书面形式提出申述。</w:t>
      </w:r>
    </w:p>
    <w:p>
      <w:pPr>
        <w:pStyle w:val="2"/>
        <w:spacing w:line="540" w:lineRule="exact"/>
        <w:ind w:firstLine="585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（四）工作人员须知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1.工作人员必须服从赛项组委会统一指挥，佩戴工作人员标识，认真履行职责，做好服务赛场、服务选手的工作。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2.工作人员按照分工准时上岗，不得擅自离岗，应认真履行各自的工作职责，保证竞赛工作的顺利进行。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3.工作人员应在规定的区域内工作，未经许可，不得擅自进入竞赛场地。如需进场，需经过裁判长同意，核准证件，由裁判跟随入场。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4.如遇突发事件，须及时向裁判长报告，同时做好疏导工作，避免重大事故发生，确保竞赛圆满成功。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5.任何人不得以任何方式暗示、指导、帮助参赛选手，对造成后果的，视情节轻重酌情扣除参赛选手成绩。如造成竞赛程序无法继续进行，由赛项组委会视情节轻重，给予通报批评或停止工作，并通知其所在单位做出相应处理。</w:t>
      </w:r>
    </w:p>
    <w:p>
      <w:pPr>
        <w:pStyle w:val="3"/>
        <w:spacing w:line="540" w:lineRule="exact"/>
        <w:ind w:firstLine="585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6.所有人员在赛场内不得喧哗，不得有影响其他选手完成工作任务的行为。</w:t>
      </w:r>
    </w:p>
    <w:p>
      <w:pPr>
        <w:pStyle w:val="3"/>
        <w:spacing w:line="540" w:lineRule="exact"/>
        <w:ind w:firstLine="585"/>
        <w:rPr>
          <w:rFonts w:ascii="Arial Narrow" w:hAnsi="Arial Narrow" w:eastAsia="仿宋_GB2312" w:cs="Arial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7.工作人员需认真做好赛场服务，并签名确认自己的责任。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十一、申诉与仲裁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（一）申诉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1.参赛队对不符合竞赛规定的设备、工具、软件，有失公正的评判、奖励，以及对工作人员的违规行为等均可提出申诉。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2.申诉应在竞赛结束后2小时内提出，超过时效将不予受理。申诉时，应按照规定的程序由参赛队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领队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向相应赛项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仲裁组递交书面申诉报告。报告应对申诉事件的现象、发生的时间、涉及到的人员、申诉依据与理由等如实叙述。事实依据不充分、仅凭主观臆断的申诉不予受理,但须说明原因。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3.赛项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仲裁组收到申诉报告后，应根据申诉事由进行审查，6小时内书面告知申诉处理结果。受理申诉的，须通知申诉方举办听证会的时间和地点。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4.申诉人不得无故拒收处理结果，不允许采取过激行为，否则视为放弃申诉。</w:t>
      </w:r>
    </w:p>
    <w:p>
      <w:pPr>
        <w:snapToGrid w:val="0"/>
        <w:spacing w:line="540" w:lineRule="exact"/>
        <w:ind w:firstLine="602" w:firstLineChars="200"/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（二）仲裁</w:t>
      </w:r>
    </w:p>
    <w:p>
      <w:pPr>
        <w:snapToGrid w:val="0"/>
        <w:spacing w:line="54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仲裁组接受由代表队提出的对裁判结果的申诉。赛项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仲裁组在接到申诉后的2小时内组织复议，并及时反馈复议结果。赛项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  <w:lang w:val="en-US" w:eastAsia="zh-CN"/>
        </w:rPr>
        <w:t>监督</w:t>
      </w: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仲裁组的裁定为最终裁定。</w:t>
      </w:r>
    </w:p>
    <w:p>
      <w:pPr>
        <w:snapToGrid w:val="0"/>
        <w:spacing w:line="540" w:lineRule="exact"/>
        <w:ind w:firstLine="602" w:firstLineChars="200"/>
        <w:rPr>
          <w:rFonts w:ascii="Arial Narrow" w:hAnsi="Arial Narrow" w:eastAsia="仿宋_GB2312" w:cs="Arial"/>
          <w:b/>
          <w:bCs/>
          <w:color w:val="auto"/>
          <w:sz w:val="30"/>
          <w:szCs w:val="30"/>
        </w:rPr>
      </w:pPr>
      <w:r>
        <w:rPr>
          <w:rFonts w:hint="eastAsia" w:ascii="Arial Narrow" w:hAnsi="Arial Narrow" w:eastAsia="仿宋_GB2312" w:cs="Arial"/>
          <w:b/>
          <w:bCs/>
          <w:color w:val="auto"/>
          <w:sz w:val="30"/>
          <w:szCs w:val="30"/>
        </w:rPr>
        <w:t>十二、大赛违规处理规定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（一）发现参赛选手不符合报名规定条件的、冒名顶替或弄虚作假的，报经大赛组委会核实批准后，一律取消该选手参赛资格，追究有关领导责任并通报批评。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（二）参赛选手有下列情节之一的，其相应项成绩计为零分：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1.竞赛期间违规透漏选手或其单位任何信息者。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2.在竞赛现场内与他人（队）交头接耳，或有偷看、暗示等作弊行为者。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3.竞赛期间使用通讯工具与他人联系者。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4.裁判根据大赛要求宣布竞赛结束后，仍强行作答或操作者。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5.不服从裁判员的裁决，扰乱竞赛秩序，影响竞赛进程，情节恶劣者。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6.其他违反大赛规则不听劝告者。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三）参赛选手如造成竞赛使用仪器设备损坏，视情节由当事人单位承担赔偿责任；参赛选手不得触动非竞赛用仪器设备，如造成仪器设备损坏，由当事人单位承担赔偿责任并通报批评；对恶意破坏仪器设备等情节严重者，送交司法机关处理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（四）各代表队非参赛人员若违反大赛纪律，将视情节轻重给予警告或通报批评。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（五）对违反大赛纪律的裁判员、工作人员，由各项目裁判长报经组委会核实批准后，视情节轻重给予警告或取消其裁判资格并通报所在单位。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（六）非大赛工作人员和参赛选手一律不得超越赛场指定的安全范围，不听劝阻造成后果者，追求其责任，并对其所在单位进行通报批评。</w:t>
      </w:r>
    </w:p>
    <w:p>
      <w:pPr>
        <w:snapToGrid w:val="0"/>
        <w:spacing w:line="560" w:lineRule="exact"/>
        <w:ind w:firstLine="600" w:firstLineChars="200"/>
        <w:rPr>
          <w:rFonts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七）各参赛队（选手）须按照大赛规定和赛题要求递交竞赛成果，禁止在竞赛成果上做任何与竞赛无关的标记；除大赛规定选手填写的信息外，不能出现透露选手身份的任何信息，否则视为作弊，相应赛项的成绩为零。</w:t>
      </w:r>
    </w:p>
    <w:p>
      <w:pPr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  <w:t>（八）参赛队（选手）参加实践操作竞赛前，应穿戴好防护用品并进行安全检查，如发现问题应及时解决，无法解决的问题应及时向裁判员报告；裁判员视情况予以判定，并协调处理。未执行有关安全规程而造成不良后果，由责任方承担相应责任；对选手未发现的安全隐患或违章操作行为，裁判员应及时指出并予以纠正，酌情扣除选手实践操作成绩并记录。</w:t>
      </w:r>
    </w:p>
    <w:p>
      <w:pPr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</w:pPr>
    </w:p>
    <w:p>
      <w:pPr>
        <w:snapToGrid w:val="0"/>
        <w:spacing w:line="560" w:lineRule="exact"/>
        <w:ind w:firstLine="600" w:firstLineChars="200"/>
        <w:rPr>
          <w:rFonts w:hint="eastAsia" w:ascii="仿宋_GB2312" w:hAnsi="仿宋_GB2312" w:eastAsia="仿宋_GB2312" w:cs="仿宋_GB2312"/>
          <w:color w:val="auto"/>
          <w:kern w:val="0"/>
          <w:sz w:val="30"/>
          <w:szCs w:val="30"/>
        </w:rPr>
      </w:pPr>
    </w:p>
    <w:p>
      <w:pPr>
        <w:snapToGrid w:val="0"/>
        <w:spacing w:line="560" w:lineRule="exact"/>
        <w:rPr>
          <w:b/>
          <w:color w:val="auto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30"/>
          <w:szCs w:val="30"/>
        </w:rPr>
        <w:t>附：样题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2000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GhpgkvTAAAABQEAAA8AAAAAAAAAAQAgAAAAIgAAAGRy&#10;cy9kb3ducmV2LnhtbFBLAQIUABQAAAAIAIdO4kCA7zCa0QEAAKMDAAAOAAAAAAAAAAEAIAAAACIB&#10;AABkcnMvZTJvRG9jLnhtbFBLBQYAAAAABgAGAFkBAABl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vrgH0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EE"/>
    <w:rsid w:val="000359DB"/>
    <w:rsid w:val="0017641F"/>
    <w:rsid w:val="001D71D3"/>
    <w:rsid w:val="002251A6"/>
    <w:rsid w:val="0025556E"/>
    <w:rsid w:val="00353335"/>
    <w:rsid w:val="00406DC0"/>
    <w:rsid w:val="00570AB4"/>
    <w:rsid w:val="00773F16"/>
    <w:rsid w:val="007B01C5"/>
    <w:rsid w:val="008766EE"/>
    <w:rsid w:val="008E524D"/>
    <w:rsid w:val="009228CE"/>
    <w:rsid w:val="00990A87"/>
    <w:rsid w:val="009A4A35"/>
    <w:rsid w:val="00A633CD"/>
    <w:rsid w:val="00B717DA"/>
    <w:rsid w:val="00D457E6"/>
    <w:rsid w:val="00DB0BF4"/>
    <w:rsid w:val="00DD03C1"/>
    <w:rsid w:val="00DD1CAB"/>
    <w:rsid w:val="00DF5C0B"/>
    <w:rsid w:val="00E42E3B"/>
    <w:rsid w:val="00E735CD"/>
    <w:rsid w:val="00F76572"/>
    <w:rsid w:val="00FE4A80"/>
    <w:rsid w:val="00FE59E1"/>
    <w:rsid w:val="0155726A"/>
    <w:rsid w:val="02656CEB"/>
    <w:rsid w:val="026B46C2"/>
    <w:rsid w:val="02F0687C"/>
    <w:rsid w:val="03497409"/>
    <w:rsid w:val="034C54C1"/>
    <w:rsid w:val="03EB025D"/>
    <w:rsid w:val="04A96BDB"/>
    <w:rsid w:val="05032C8B"/>
    <w:rsid w:val="0653425F"/>
    <w:rsid w:val="06CA5F1C"/>
    <w:rsid w:val="06F432D1"/>
    <w:rsid w:val="07487196"/>
    <w:rsid w:val="07605FD0"/>
    <w:rsid w:val="088A3CCC"/>
    <w:rsid w:val="092A3C11"/>
    <w:rsid w:val="094912C6"/>
    <w:rsid w:val="0A460B51"/>
    <w:rsid w:val="0BA46C5E"/>
    <w:rsid w:val="0C63525F"/>
    <w:rsid w:val="0E2020FF"/>
    <w:rsid w:val="0ED14846"/>
    <w:rsid w:val="0F0E698D"/>
    <w:rsid w:val="0F706DA6"/>
    <w:rsid w:val="10B9264A"/>
    <w:rsid w:val="12013CCB"/>
    <w:rsid w:val="12D3458C"/>
    <w:rsid w:val="12DE1156"/>
    <w:rsid w:val="13384C27"/>
    <w:rsid w:val="179E6F7B"/>
    <w:rsid w:val="17BC4547"/>
    <w:rsid w:val="181F7414"/>
    <w:rsid w:val="18535470"/>
    <w:rsid w:val="1A52645B"/>
    <w:rsid w:val="1D342963"/>
    <w:rsid w:val="1DB010F5"/>
    <w:rsid w:val="1E1736AF"/>
    <w:rsid w:val="1EE00930"/>
    <w:rsid w:val="1EE043F0"/>
    <w:rsid w:val="202506CA"/>
    <w:rsid w:val="2071455E"/>
    <w:rsid w:val="20D655A5"/>
    <w:rsid w:val="21856AE8"/>
    <w:rsid w:val="22285B6E"/>
    <w:rsid w:val="22EF0102"/>
    <w:rsid w:val="234D7859"/>
    <w:rsid w:val="238B3555"/>
    <w:rsid w:val="24B01AF1"/>
    <w:rsid w:val="25EB4C6F"/>
    <w:rsid w:val="26601F8F"/>
    <w:rsid w:val="2692632A"/>
    <w:rsid w:val="26B9527E"/>
    <w:rsid w:val="26C52387"/>
    <w:rsid w:val="28FC13EA"/>
    <w:rsid w:val="29555E88"/>
    <w:rsid w:val="2AED59ED"/>
    <w:rsid w:val="2AF6202B"/>
    <w:rsid w:val="2B134496"/>
    <w:rsid w:val="2BC6113F"/>
    <w:rsid w:val="2C67626E"/>
    <w:rsid w:val="2CE329E2"/>
    <w:rsid w:val="2E0A6A4D"/>
    <w:rsid w:val="2FC13434"/>
    <w:rsid w:val="30193AC5"/>
    <w:rsid w:val="308D309B"/>
    <w:rsid w:val="3196567C"/>
    <w:rsid w:val="3234366E"/>
    <w:rsid w:val="33381808"/>
    <w:rsid w:val="33D82A2B"/>
    <w:rsid w:val="36757AA4"/>
    <w:rsid w:val="37275BE4"/>
    <w:rsid w:val="378E6578"/>
    <w:rsid w:val="38E73C41"/>
    <w:rsid w:val="39671BAB"/>
    <w:rsid w:val="397853BE"/>
    <w:rsid w:val="39987C3E"/>
    <w:rsid w:val="39EE3028"/>
    <w:rsid w:val="3A2E4FE6"/>
    <w:rsid w:val="3C183FCE"/>
    <w:rsid w:val="3C7F78FB"/>
    <w:rsid w:val="3D4B1A69"/>
    <w:rsid w:val="3E47659D"/>
    <w:rsid w:val="402B4CE9"/>
    <w:rsid w:val="40AB565D"/>
    <w:rsid w:val="419A0E5F"/>
    <w:rsid w:val="41AE48C4"/>
    <w:rsid w:val="41E90CDE"/>
    <w:rsid w:val="42207375"/>
    <w:rsid w:val="427F4A2E"/>
    <w:rsid w:val="42D67803"/>
    <w:rsid w:val="432B2F9E"/>
    <w:rsid w:val="43742092"/>
    <w:rsid w:val="43E371C6"/>
    <w:rsid w:val="43E470E7"/>
    <w:rsid w:val="43E62E42"/>
    <w:rsid w:val="44C1779A"/>
    <w:rsid w:val="44C31164"/>
    <w:rsid w:val="45E06C4B"/>
    <w:rsid w:val="45E23683"/>
    <w:rsid w:val="468C4E75"/>
    <w:rsid w:val="46F653CE"/>
    <w:rsid w:val="472C6074"/>
    <w:rsid w:val="47852CF4"/>
    <w:rsid w:val="47945417"/>
    <w:rsid w:val="47A11473"/>
    <w:rsid w:val="48094737"/>
    <w:rsid w:val="4984685C"/>
    <w:rsid w:val="49AD3931"/>
    <w:rsid w:val="49BF001A"/>
    <w:rsid w:val="49F4463F"/>
    <w:rsid w:val="4C9A1D5C"/>
    <w:rsid w:val="4DFC2F26"/>
    <w:rsid w:val="4E1B1972"/>
    <w:rsid w:val="4EC26C73"/>
    <w:rsid w:val="4F283B94"/>
    <w:rsid w:val="503B6E20"/>
    <w:rsid w:val="50D76E98"/>
    <w:rsid w:val="50FC6E97"/>
    <w:rsid w:val="50FE2B5C"/>
    <w:rsid w:val="512118C0"/>
    <w:rsid w:val="52AB725B"/>
    <w:rsid w:val="53291F90"/>
    <w:rsid w:val="53C069D8"/>
    <w:rsid w:val="53C27C24"/>
    <w:rsid w:val="541F459D"/>
    <w:rsid w:val="545B03E3"/>
    <w:rsid w:val="548D1964"/>
    <w:rsid w:val="56C501D7"/>
    <w:rsid w:val="574D389C"/>
    <w:rsid w:val="579030F4"/>
    <w:rsid w:val="58A20D96"/>
    <w:rsid w:val="592C4D08"/>
    <w:rsid w:val="5A2F65AA"/>
    <w:rsid w:val="5B4D0553"/>
    <w:rsid w:val="5B8F5B57"/>
    <w:rsid w:val="5D642CDA"/>
    <w:rsid w:val="5DF83F9E"/>
    <w:rsid w:val="5F397625"/>
    <w:rsid w:val="5F73040C"/>
    <w:rsid w:val="60CC5995"/>
    <w:rsid w:val="610B2719"/>
    <w:rsid w:val="612C0729"/>
    <w:rsid w:val="61964179"/>
    <w:rsid w:val="62F27AFA"/>
    <w:rsid w:val="63C243AE"/>
    <w:rsid w:val="64447130"/>
    <w:rsid w:val="64512208"/>
    <w:rsid w:val="65082C11"/>
    <w:rsid w:val="65230709"/>
    <w:rsid w:val="655F68C1"/>
    <w:rsid w:val="65E078CF"/>
    <w:rsid w:val="65E3546C"/>
    <w:rsid w:val="66426764"/>
    <w:rsid w:val="665964F9"/>
    <w:rsid w:val="66773D2C"/>
    <w:rsid w:val="68E72B8C"/>
    <w:rsid w:val="6AA42656"/>
    <w:rsid w:val="6AD024B9"/>
    <w:rsid w:val="6B117E3E"/>
    <w:rsid w:val="6BAD490C"/>
    <w:rsid w:val="6BD55D48"/>
    <w:rsid w:val="6E413B06"/>
    <w:rsid w:val="6FC826A1"/>
    <w:rsid w:val="705326C5"/>
    <w:rsid w:val="719929F0"/>
    <w:rsid w:val="7589280D"/>
    <w:rsid w:val="75F25378"/>
    <w:rsid w:val="76483B2E"/>
    <w:rsid w:val="77247677"/>
    <w:rsid w:val="772F1141"/>
    <w:rsid w:val="77A41BAE"/>
    <w:rsid w:val="77C13ADB"/>
    <w:rsid w:val="782002EE"/>
    <w:rsid w:val="786A558A"/>
    <w:rsid w:val="7992267F"/>
    <w:rsid w:val="7BA1407C"/>
    <w:rsid w:val="7BC146D9"/>
    <w:rsid w:val="7C3B7881"/>
    <w:rsid w:val="7C5E5EB0"/>
    <w:rsid w:val="7D167675"/>
    <w:rsid w:val="7DF55C59"/>
    <w:rsid w:val="7FE55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0" w:beforeLines="0" w:beforeAutospacing="0" w:after="0" w:afterLines="0" w:afterAutospacing="0" w:line="240" w:lineRule="auto"/>
      <w:ind w:firstLine="723" w:firstLineChars="200"/>
      <w:outlineLvl w:val="1"/>
    </w:pPr>
    <w:rPr>
      <w:rFonts w:ascii="Arial" w:hAnsi="Arial" w:eastAsia="仿宋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0"/>
    <w:qFormat/>
    <w:uiPriority w:val="0"/>
    <w:rPr>
      <w:sz w:val="20"/>
      <w:szCs w:val="20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semiHidden/>
    <w:qFormat/>
    <w:uiPriority w:val="0"/>
    <w:rPr>
      <w:sz w:val="21"/>
      <w:szCs w:val="21"/>
    </w:rPr>
  </w:style>
  <w:style w:type="character" w:customStyle="1" w:styleId="9">
    <w:name w:val="页脚 Char"/>
    <w:link w:val="4"/>
    <w:qFormat/>
    <w:uiPriority w:val="0"/>
    <w:rPr>
      <w:sz w:val="18"/>
      <w:szCs w:val="18"/>
    </w:rPr>
  </w:style>
  <w:style w:type="character" w:customStyle="1" w:styleId="10">
    <w:name w:val="批注文字 Char"/>
    <w:basedOn w:val="7"/>
    <w:link w:val="3"/>
    <w:qFormat/>
    <w:uiPriority w:val="0"/>
    <w:rPr>
      <w:rFonts w:ascii="Calibri" w:hAnsi="Calibri" w:eastAsia="宋体" w:cs="Times New Roman"/>
      <w:sz w:val="20"/>
      <w:szCs w:val="20"/>
    </w:rPr>
  </w:style>
  <w:style w:type="character" w:customStyle="1" w:styleId="11">
    <w:name w:val="页脚 Char1"/>
    <w:basedOn w:val="7"/>
    <w:link w:val="4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2">
    <w:name w:val="页眉 Char"/>
    <w:basedOn w:val="7"/>
    <w:link w:val="5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paragraph" w:customStyle="1" w:styleId="14">
    <w:name w:val="样式 黑体 小初 居中 首行缩进:  2 字符"/>
    <w:basedOn w:val="1"/>
    <w:qFormat/>
    <w:uiPriority w:val="0"/>
    <w:pPr>
      <w:jc w:val="center"/>
    </w:pPr>
    <w:rPr>
      <w:rFonts w:ascii="黑体" w:eastAsia="黑体" w:cs="宋体"/>
      <w:sz w:val="7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427</Words>
  <Characters>2436</Characters>
  <Lines>20</Lines>
  <Paragraphs>5</Paragraphs>
  <TotalTime>82</TotalTime>
  <ScaleCrop>false</ScaleCrop>
  <LinksUpToDate>false</LinksUpToDate>
  <CharactersWithSpaces>2858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2019-07-13T16:40:00Z</dcterms:created>
  <dc:creator>Administrator</dc:creator>
  <cp:lastModifiedBy>mqh</cp:lastModifiedBy>
  <cp:lastPrinted>2019-07-15T02:35:00Z</cp:lastPrinted>
  <dcterms:modified xsi:type="dcterms:W3CDTF">2020-11-17T05:51:30Z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