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560" w:firstLineChars="200"/>
        <w:rPr>
          <w:rFonts w:ascii="仿宋_GB2312" w:hAnsi="仿宋" w:eastAsia="仿宋_GB2312" w:cs="宋体"/>
          <w:bCs/>
          <w:color w:val="auto"/>
          <w:kern w:val="0"/>
          <w:sz w:val="28"/>
          <w:szCs w:val="28"/>
          <w:highlight w:val="none"/>
        </w:rPr>
      </w:pPr>
    </w:p>
    <w:p>
      <w:pPr>
        <w:spacing w:line="560" w:lineRule="exact"/>
        <w:ind w:firstLine="560" w:firstLineChars="200"/>
        <w:rPr>
          <w:rFonts w:hint="eastAsia" w:ascii="仿宋_GB2312" w:hAnsi="仿宋" w:eastAsia="仿宋_GB2312" w:cs="宋体"/>
          <w:bCs/>
          <w:color w:val="auto"/>
          <w:kern w:val="0"/>
          <w:sz w:val="28"/>
          <w:szCs w:val="28"/>
          <w:highlight w:val="none"/>
          <w:lang w:val="en-US" w:eastAsia="zh-CN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</w:rPr>
      </w:pPr>
      <w:r>
        <w:rPr>
          <w:rFonts w:ascii="仿宋_GB2312" w:hAnsi="仿宋_GB2312" w:eastAsia="仿宋_GB2312" w:cs="仿宋_GB2312"/>
          <w:b/>
          <w:color w:val="auto"/>
          <w:sz w:val="36"/>
          <w:szCs w:val="36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  <w:lang w:val="en-US" w:eastAsia="zh-CN"/>
        </w:rPr>
        <w:t>20</w:t>
      </w:r>
      <w:r>
        <w:rPr>
          <w:rFonts w:ascii="仿宋_GB2312" w:hAnsi="仿宋_GB2312" w:eastAsia="仿宋_GB2312" w:cs="仿宋_GB2312"/>
          <w:b/>
          <w:color w:val="auto"/>
          <w:sz w:val="36"/>
          <w:szCs w:val="36"/>
          <w:highlight w:val="none"/>
          <w:lang w:val="en-US" w:eastAsia="zh-CN"/>
        </w:rPr>
        <w:t>年全国机械行业职业院校</w:t>
      </w: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  <w:lang w:val="en-US" w:eastAsia="zh-CN"/>
        </w:rPr>
        <w:t>技能</w:t>
      </w:r>
      <w:r>
        <w:rPr>
          <w:rFonts w:ascii="仿宋_GB2312" w:hAnsi="仿宋_GB2312" w:eastAsia="仿宋_GB2312" w:cs="仿宋_GB2312"/>
          <w:b/>
          <w:color w:val="auto"/>
          <w:sz w:val="36"/>
          <w:szCs w:val="36"/>
          <w:highlight w:val="none"/>
          <w:lang w:val="en-US" w:eastAsia="zh-CN"/>
        </w:rPr>
        <w:t>大赛</w:t>
      </w:r>
    </w:p>
    <w:p>
      <w:pPr>
        <w:widowControl w:val="0"/>
        <w:tabs>
          <w:tab w:val="left" w:pos="7310"/>
        </w:tabs>
        <w:wordWrap/>
        <w:adjustRightInd/>
        <w:snapToGrid/>
        <w:spacing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</w:rPr>
        <w:t>“精雕杯”五轴数控加工</w:t>
      </w: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  <w:lang w:eastAsia="zh-CN"/>
        </w:rPr>
        <w:t>技术</w:t>
      </w:r>
      <w:r>
        <w:rPr>
          <w:rFonts w:hint="eastAsia" w:ascii="仿宋_GB2312" w:hAnsi="仿宋_GB2312" w:eastAsia="仿宋_GB2312" w:cs="仿宋_GB2312"/>
          <w:b/>
          <w:color w:val="auto"/>
          <w:sz w:val="36"/>
          <w:szCs w:val="36"/>
          <w:highlight w:val="none"/>
        </w:rPr>
        <w:t>赛项</w:t>
      </w:r>
    </w:p>
    <w:p>
      <w:pPr>
        <w:tabs>
          <w:tab w:val="left" w:pos="7310"/>
        </w:tabs>
        <w:jc w:val="both"/>
        <w:rPr>
          <w:rFonts w:ascii="仿宋_GB2312" w:hAnsi="仿宋_GB2312" w:eastAsia="仿宋_GB2312" w:cs="仿宋_GB2312"/>
          <w:b/>
          <w:color w:val="auto"/>
          <w:sz w:val="36"/>
          <w:szCs w:val="36"/>
          <w:highlight w:val="none"/>
        </w:rPr>
      </w:pPr>
    </w:p>
    <w:p>
      <w:pPr>
        <w:jc w:val="center"/>
        <w:rPr>
          <w:rFonts w:ascii="仿宋_GB2312" w:hAnsi="仿宋_GB2312" w:eastAsia="仿宋_GB2312" w:cs="仿宋_GB2312"/>
          <w:color w:val="auto"/>
          <w:sz w:val="32"/>
          <w:highlight w:val="none"/>
        </w:rPr>
      </w:pPr>
    </w:p>
    <w:p>
      <w:pPr>
        <w:rPr>
          <w:rFonts w:ascii="仿宋_GB2312" w:hAnsi="仿宋_GB2312" w:eastAsia="仿宋_GB2312" w:cs="仿宋_GB2312"/>
          <w:color w:val="auto"/>
          <w:highlight w:val="none"/>
        </w:rPr>
      </w:pPr>
    </w:p>
    <w:p>
      <w:pPr>
        <w:rPr>
          <w:rFonts w:ascii="仿宋_GB2312" w:hAnsi="仿宋_GB2312" w:eastAsia="仿宋_GB2312" w:cs="仿宋_GB2312"/>
          <w:color w:val="auto"/>
          <w:highlight w:val="none"/>
        </w:rPr>
      </w:pPr>
    </w:p>
    <w:p>
      <w:pPr>
        <w:rPr>
          <w:rFonts w:ascii="仿宋_GB2312" w:hAnsi="仿宋_GB2312" w:eastAsia="仿宋_GB2312" w:cs="仿宋_GB2312"/>
          <w:color w:val="auto"/>
          <w:highlight w:val="none"/>
        </w:rPr>
      </w:pPr>
    </w:p>
    <w:p>
      <w:pPr>
        <w:spacing w:line="360" w:lineRule="auto"/>
        <w:jc w:val="center"/>
        <w:rPr>
          <w:rFonts w:hint="eastAsia" w:ascii="宋体" w:hAnsi="宋体"/>
          <w:b/>
          <w:color w:val="auto"/>
          <w:sz w:val="84"/>
          <w:szCs w:val="84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84"/>
          <w:szCs w:val="84"/>
          <w:highlight w:val="none"/>
          <w:lang w:eastAsia="zh-CN"/>
        </w:rPr>
        <w:t>决</w:t>
      </w:r>
    </w:p>
    <w:p>
      <w:pPr>
        <w:spacing w:line="360" w:lineRule="auto"/>
        <w:jc w:val="center"/>
        <w:rPr>
          <w:rFonts w:ascii="宋体"/>
          <w:b/>
          <w:color w:val="auto"/>
          <w:sz w:val="84"/>
          <w:szCs w:val="84"/>
          <w:highlight w:val="none"/>
        </w:rPr>
      </w:pPr>
      <w:r>
        <w:rPr>
          <w:rFonts w:hint="eastAsia" w:ascii="宋体" w:hAnsi="宋体"/>
          <w:b/>
          <w:color w:val="auto"/>
          <w:sz w:val="84"/>
          <w:szCs w:val="84"/>
          <w:highlight w:val="none"/>
        </w:rPr>
        <w:t>赛</w:t>
      </w:r>
    </w:p>
    <w:p>
      <w:pPr>
        <w:spacing w:line="360" w:lineRule="auto"/>
        <w:jc w:val="center"/>
        <w:rPr>
          <w:rFonts w:ascii="宋体"/>
          <w:b/>
          <w:color w:val="auto"/>
          <w:sz w:val="84"/>
          <w:szCs w:val="84"/>
          <w:highlight w:val="none"/>
        </w:rPr>
      </w:pPr>
      <w:r>
        <w:rPr>
          <w:rFonts w:hint="eastAsia" w:ascii="宋体" w:hAnsi="宋体"/>
          <w:b/>
          <w:color w:val="auto"/>
          <w:sz w:val="84"/>
          <w:szCs w:val="84"/>
          <w:highlight w:val="none"/>
        </w:rPr>
        <w:t>任</w:t>
      </w:r>
    </w:p>
    <w:p>
      <w:pPr>
        <w:spacing w:line="360" w:lineRule="auto"/>
        <w:jc w:val="center"/>
        <w:rPr>
          <w:rFonts w:ascii="宋体"/>
          <w:b/>
          <w:color w:val="auto"/>
          <w:sz w:val="84"/>
          <w:szCs w:val="84"/>
          <w:highlight w:val="none"/>
        </w:rPr>
      </w:pPr>
      <w:r>
        <w:rPr>
          <w:rFonts w:hint="eastAsia" w:ascii="宋体" w:hAnsi="宋体"/>
          <w:b/>
          <w:color w:val="auto"/>
          <w:sz w:val="84"/>
          <w:szCs w:val="84"/>
          <w:highlight w:val="none"/>
        </w:rPr>
        <w:t>务</w:t>
      </w:r>
    </w:p>
    <w:p>
      <w:pPr>
        <w:spacing w:line="360" w:lineRule="auto"/>
        <w:jc w:val="center"/>
        <w:rPr>
          <w:rFonts w:hint="eastAsia" w:ascii="宋体" w:hAnsi="宋体"/>
          <w:b/>
          <w:color w:val="auto"/>
          <w:sz w:val="84"/>
          <w:szCs w:val="84"/>
          <w:highlight w:val="none"/>
        </w:rPr>
      </w:pPr>
      <w:r>
        <w:rPr>
          <w:rFonts w:hint="eastAsia" w:ascii="宋体" w:hAnsi="宋体"/>
          <w:b/>
          <w:color w:val="auto"/>
          <w:sz w:val="84"/>
          <w:szCs w:val="84"/>
          <w:highlight w:val="none"/>
        </w:rPr>
        <w:t>书</w:t>
      </w: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  <w:lang w:val="en-US" w:eastAsia="zh-CN"/>
        </w:rPr>
        <w:t>(样题)</w:t>
      </w:r>
    </w:p>
    <w:p>
      <w:pPr>
        <w:widowControl w:val="0"/>
        <w:wordWrap/>
        <w:adjustRightInd/>
        <w:snapToGrid/>
        <w:spacing w:line="558" w:lineRule="exact"/>
        <w:ind w:firstLine="562" w:firstLineChars="200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</w:p>
    <w:p>
      <w:pPr>
        <w:widowControl w:val="0"/>
        <w:wordWrap/>
        <w:adjustRightInd/>
        <w:snapToGrid/>
        <w:spacing w:line="558" w:lineRule="exact"/>
        <w:ind w:firstLine="562" w:firstLineChars="200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</w:p>
    <w:p>
      <w:pPr>
        <w:widowControl w:val="0"/>
        <w:wordWrap/>
        <w:adjustRightInd/>
        <w:snapToGrid/>
        <w:spacing w:line="558" w:lineRule="exact"/>
        <w:ind w:firstLine="562" w:firstLineChars="200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</w:p>
    <w:p>
      <w:pPr>
        <w:widowControl w:val="0"/>
        <w:wordWrap/>
        <w:adjustRightInd/>
        <w:snapToGrid/>
        <w:spacing w:line="558" w:lineRule="exact"/>
        <w:ind w:firstLine="0" w:firstLineChars="0"/>
        <w:jc w:val="center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highlight w:val="none"/>
          <w:lang w:val="en-US" w:eastAsia="zh-CN"/>
        </w:rPr>
      </w:pPr>
    </w:p>
    <w:p>
      <w:pPr>
        <w:widowControl w:val="0"/>
        <w:wordWrap/>
        <w:adjustRightInd/>
        <w:snapToGrid/>
        <w:spacing w:beforeLines="100" w:line="580" w:lineRule="exact"/>
        <w:ind w:firstLine="723" w:firstLineChars="200"/>
        <w:jc w:val="center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highlight w:val="none"/>
          <w:lang w:val="en-US" w:eastAsia="zh-CN"/>
        </w:rPr>
        <w:t>注意事项</w:t>
      </w:r>
    </w:p>
    <w:p>
      <w:pPr>
        <w:widowControl w:val="0"/>
        <w:wordWrap/>
        <w:adjustRightInd/>
        <w:snapToGrid/>
        <w:spacing w:beforeLines="100" w:line="580" w:lineRule="exact"/>
        <w:ind w:firstLine="560" w:firstLineChars="200"/>
        <w:textAlignment w:val="baseline"/>
        <w:outlineLvl w:val="9"/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比赛时间240分钟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  <w:t>。</w:t>
      </w:r>
    </w:p>
    <w:p>
      <w:pPr>
        <w:widowControl w:val="0"/>
        <w:wordWrap/>
        <w:adjustRightInd/>
        <w:snapToGrid/>
        <w:spacing w:line="580" w:lineRule="exact"/>
        <w:ind w:firstLine="560" w:firstLineChars="200"/>
        <w:textAlignment w:val="baseline"/>
        <w:outlineLvl w:val="9"/>
        <w:rPr>
          <w:rFonts w:ascii="仿宋_GB2312" w:hAnsi="仿宋_GB2312" w:eastAsia="仿宋_GB2312" w:cs="仿宋_GB2312"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val="en-US" w:eastAsia="zh-CN"/>
        </w:rPr>
        <w:t>2、发出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  <w:t>比赛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val="en-US" w:eastAsia="zh-CN"/>
        </w:rPr>
        <w:t>结束指令时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  <w:t>，选手应立即停止操作，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val="en-US" w:eastAsia="zh-CN"/>
        </w:rPr>
        <w:t>并按任务书要求提交赛件及相关文件，经裁判允许后，方可离开赛场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</w:rPr>
        <w:t>。</w:t>
      </w:r>
    </w:p>
    <w:p>
      <w:pPr>
        <w:widowControl w:val="0"/>
        <w:wordWrap/>
        <w:adjustRightInd/>
        <w:snapToGrid/>
        <w:spacing w:line="580" w:lineRule="exact"/>
        <w:ind w:firstLine="560" w:firstLineChars="200"/>
        <w:textAlignment w:val="baseline"/>
        <w:outlineLvl w:val="9"/>
        <w:rPr>
          <w:rFonts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选手在任务书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及提交资料上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不得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填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写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姓名或身份有关的信息，否则成绩无效。</w:t>
      </w:r>
    </w:p>
    <w:p>
      <w:pPr>
        <w:widowControl w:val="0"/>
        <w:wordWrap/>
        <w:adjustRightInd/>
        <w:snapToGrid/>
        <w:spacing w:line="580" w:lineRule="exact"/>
        <w:ind w:firstLine="560" w:firstLineChars="200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、除预赛阶段设计文件的存储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优盘及加工的零件以外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选手进入赛场不准携带移动存储器材，不准携带手机等通讯工具，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不准携带任何与比赛相关的资料、物品等，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违者取消竞赛资格。</w:t>
      </w:r>
    </w:p>
    <w:p>
      <w:pPr>
        <w:widowControl w:val="0"/>
        <w:wordWrap/>
        <w:adjustRightInd/>
        <w:snapToGrid/>
        <w:spacing w:line="580" w:lineRule="exact"/>
        <w:ind w:firstLine="560" w:firstLineChars="200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选手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在比赛过程中，文件及时保存。</w:t>
      </w:r>
    </w:p>
    <w:p>
      <w:pPr>
        <w:widowControl w:val="0"/>
        <w:wordWrap/>
        <w:adjustRightInd/>
        <w:snapToGrid/>
        <w:spacing w:line="580" w:lineRule="exact"/>
        <w:ind w:firstLine="560" w:firstLineChars="200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比赛过程中，由选手操作失误造成的设备报警及故障，后果由选手自行承担。</w:t>
      </w:r>
    </w:p>
    <w:p>
      <w:pPr>
        <w:widowControl w:val="0"/>
        <w:wordWrap/>
        <w:adjustRightInd/>
        <w:snapToGrid/>
        <w:spacing w:line="580" w:lineRule="exact"/>
        <w:ind w:firstLine="560" w:firstLineChars="200"/>
        <w:textAlignment w:val="baseline"/>
        <w:outlineLvl w:val="9"/>
        <w:rPr>
          <w:rFonts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7、选手在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设备操作过程中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如果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发生严重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碰撞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，影响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设备正常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运行，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经裁判长确认后，取消其继续竞赛资格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</w:t>
      </w:r>
    </w:p>
    <w:p>
      <w:pPr>
        <w:widowControl w:val="0"/>
        <w:wordWrap/>
        <w:adjustRightInd/>
        <w:snapToGrid/>
        <w:spacing w:line="580" w:lineRule="exact"/>
        <w:ind w:firstLine="560" w:firstLineChars="200"/>
        <w:textAlignment w:val="baseline"/>
        <w:outlineLvl w:val="9"/>
        <w:rPr>
          <w:rFonts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选手在完成工作任务过程中，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如有故意损坏赛场设备及部件的，由裁判长确认后，根据部件实际价格由选手及所在单位进行相应赔偿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</w:t>
      </w:r>
    </w:p>
    <w:p>
      <w:pPr>
        <w:widowControl w:val="0"/>
        <w:wordWrap/>
        <w:adjustRightInd/>
        <w:snapToGrid/>
        <w:spacing w:line="580" w:lineRule="exact"/>
        <w:ind w:firstLine="560" w:firstLineChars="200"/>
        <w:textAlignment w:val="baseline"/>
        <w:outlineLvl w:val="9"/>
        <w:rPr>
          <w:rFonts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9、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选手扰乱赛场秩序，干扰裁判正常工作，情节严重者，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经裁判长确认后，取消其继续竞赛资格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</w:t>
      </w:r>
    </w:p>
    <w:p>
      <w:pPr>
        <w:widowControl w:val="0"/>
        <w:wordWrap/>
        <w:adjustRightInd/>
        <w:snapToGrid/>
        <w:spacing w:line="580" w:lineRule="exact"/>
        <w:ind w:firstLine="560" w:firstLineChars="200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10、比赛结束所提交的电子资料等须严格按照任务书要求进行存盘，比赛所发放资料在比赛结束后全部收回，任何人不允许带出赛场。</w:t>
      </w:r>
    </w:p>
    <w:p>
      <w:pPr>
        <w:widowControl w:val="0"/>
        <w:wordWrap/>
        <w:adjustRightInd/>
        <w:snapToGrid/>
        <w:spacing w:line="580" w:lineRule="exact"/>
        <w:ind w:firstLine="560" w:firstLineChars="200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11、选手在竞赛过程中应该遵守相关的规章制度和安全守则，如有违反，则按照相关规定在竞赛的总成绩中扣除相应分值。</w:t>
      </w:r>
    </w:p>
    <w:p>
      <w:pPr>
        <w:widowControl w:val="0"/>
        <w:wordWrap/>
        <w:adjustRightInd/>
        <w:snapToGrid/>
        <w:spacing w:line="580" w:lineRule="exact"/>
        <w:ind w:firstLine="560" w:firstLineChars="200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12、选手在比赛开始前，认真对照物料清点单检查赛位物料，并确认后开始比赛；选手完成任务后进行产品拆卸，配合技术人员清理并清点检具、仪表和附件，恢复现场赛位。</w:t>
      </w:r>
    </w:p>
    <w:p>
      <w:pPr>
        <w:widowControl w:val="0"/>
        <w:wordWrap/>
        <w:adjustRightInd/>
        <w:snapToGrid/>
        <w:spacing w:line="558" w:lineRule="exact"/>
        <w:ind w:left="0" w:leftChars="0" w:right="0" w:firstLine="562" w:firstLineChars="200"/>
        <w:jc w:val="both"/>
        <w:textAlignment w:val="baseline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、需要完成的工作任务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请在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规定时间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内完成如下工作任务）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before="0" w:after="0" w:line="52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1、利用大赛指定软件JDSoft_SurfMill9.0，进行工件1-齿轮传动件（以下简称工件1）、工件2-下壳体（以下简称工件2）的编程及仿真。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before="0" w:after="0" w:line="520" w:lineRule="exact"/>
        <w:ind w:left="0" w:leftChars="0" w:right="0" w:firstLine="56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2、根据装配要求，通过编程加工完成工件2与工件3-输入轴（以下简称工件3）的修配。</w:t>
      </w:r>
    </w:p>
    <w:p>
      <w:pPr>
        <w:widowControl w:val="0"/>
        <w:wordWrap/>
        <w:adjustRightInd/>
        <w:snapToGrid/>
        <w:spacing w:before="0" w:after="0" w:line="52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根据标定程序及数控编程文件，利用提供的设备、工具及刀具等完成测头标定、毛坯位置找正、刀具磨损检测、铣削与磨削加工。</w:t>
      </w:r>
    </w:p>
    <w:p>
      <w:pPr>
        <w:widowControl w:val="0"/>
        <w:wordWrap/>
        <w:adjustRightInd/>
        <w:snapToGrid/>
        <w:spacing w:before="0" w:after="0" w:line="520" w:lineRule="exact"/>
        <w:ind w:left="0" w:leftChars="0" w:right="0" w:firstLine="56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4、通过在机测量技术完成指定要素的在机检测，并按任务书要求输出检测报告。 </w:t>
      </w:r>
    </w:p>
    <w:p>
      <w:pPr>
        <w:widowControl w:val="0"/>
        <w:wordWrap/>
        <w:adjustRightInd/>
        <w:snapToGrid/>
        <w:spacing w:before="0" w:after="0" w:line="520" w:lineRule="exact"/>
        <w:ind w:left="0" w:leftChars="0" w:right="0" w:firstLine="56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5、利用大赛提供的配件和工具，按照任务书要求，根据装配图完成产品的装配和拆解。</w:t>
      </w:r>
    </w:p>
    <w:p>
      <w:pPr>
        <w:widowControl w:val="0"/>
        <w:wordWrap/>
        <w:adjustRightInd/>
        <w:snapToGrid/>
        <w:spacing w:before="0" w:after="0" w:line="52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考核比赛过程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选手的工匠精神、职业素养与操作安全。</w:t>
      </w:r>
    </w:p>
    <w:p>
      <w:pPr>
        <w:widowControl w:val="0"/>
        <w:wordWrap/>
        <w:adjustRightInd/>
        <w:snapToGrid/>
        <w:spacing w:line="52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注：测头已安装于机床刀库，测头刀号为T20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）</w:t>
      </w:r>
    </w:p>
    <w:p>
      <w:pPr>
        <w:widowControl w:val="0"/>
        <w:numPr>
          <w:ilvl w:val="0"/>
          <w:numId w:val="1"/>
        </w:numPr>
        <w:wordWrap/>
        <w:adjustRightInd/>
        <w:snapToGrid/>
        <w:spacing w:line="558" w:lineRule="exact"/>
        <w:ind w:firstLine="562" w:firstLineChars="200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具体任务及要求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58" w:lineRule="exact"/>
        <w:ind w:firstLine="562" w:firstLineChars="200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任务1：数控编程与仿真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%）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任务描述：利用大赛指定软件，根据2D图纸要求完成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工件1和工件2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的软件自动编程，对指定部位进行机床模拟仿真，模拟路径以“元素8键槽结构：倒角”（示例）格式命名，将仿真结果截图保存于《任务1记录表》中，并在比赛后将《任务1记录表》拷贝至指定优盘并上交。截图文件要求：①显示模拟路径名称、NC代码；②显示机床模拟完成进度条；③显示工件、夹具体及转台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截图文件要求清晰呈现以上三点信息（仿真结果截图效果参考《任务1记录表》中示例）。</w:t>
      </w:r>
    </w:p>
    <w:p>
      <w:pPr>
        <w:widowControl w:val="0"/>
        <w:numPr>
          <w:ilvl w:val="0"/>
          <w:numId w:val="2"/>
        </w:numPr>
        <w:wordWrap/>
        <w:adjustRightInd/>
        <w:snapToGrid/>
        <w:spacing w:line="54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根据2D图纸要求进行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工件1和工件2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的软件自动编程，工件及相应工装放于同一编程文件中，以“工件1、工件2编程文件”格式命名，并在比赛结束后拷贝至优盘指定路径中上交。</w:t>
      </w:r>
    </w:p>
    <w:p>
      <w:pPr>
        <w:widowControl w:val="0"/>
        <w:numPr>
          <w:ilvl w:val="0"/>
          <w:numId w:val="2"/>
        </w:numPr>
        <w:wordWrap/>
        <w:adjustRightInd/>
        <w:snapToGrid/>
        <w:spacing w:line="54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完成零件图中工件1部分加工程序的机床模拟仿真并将仿真结果截图保存。包括：①元素9传动件通孔：粗磨加工；②元素10齿槽：开粗。</w:t>
      </w:r>
    </w:p>
    <w:p>
      <w:pPr>
        <w:widowControl w:val="0"/>
        <w:numPr>
          <w:ilvl w:val="0"/>
          <w:numId w:val="2"/>
        </w:numPr>
        <w:wordWrap/>
        <w:adjustRightInd/>
        <w:snapToGrid/>
        <w:spacing w:line="54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完成零件图中工件2部分加工程序的机床模拟仿真并将仿真结果截图保存。包括：①元素1散热槽：侧壁精加工；②元素2液显凸台：φ3.3钻孔加工；③元素3配重凸台：φ6孔侧壁精加工；④元素4曲面凸台：顶部圆弧面精加工；⑤元素5轴承安装位：φ32孔侧壁精加工；⑥元素6定位孔：侧壁精加工；⑦元素7装配基准面：精加工；⑧元素8内腔：开粗加工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firstLine="560" w:firstLineChars="200"/>
        <w:textAlignment w:val="auto"/>
        <w:outlineLvl w:val="9"/>
        <w:rPr>
          <w:rFonts w:hint="default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注：如果所要求模拟要素由多个工步完成，只对最后工步路径进行仿真模拟。 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2759"/>
        <w:gridCol w:w="2235"/>
        <w:gridCol w:w="2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工件</w:t>
            </w:r>
          </w:p>
        </w:tc>
        <w:tc>
          <w:tcPr>
            <w:tcW w:w="275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元素名称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所在图纸号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工程图坐标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工件2</w:t>
            </w:r>
          </w:p>
        </w:tc>
        <w:tc>
          <w:tcPr>
            <w:tcW w:w="275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元素1散热槽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5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元素2液显凸台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B4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5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元素3配重凸台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C6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5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元素4曲面凸台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B10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75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元素5轴承安装位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E6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75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元素6定位孔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D9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75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元素7装配基准面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D9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75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元素8内腔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I6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工件1</w:t>
            </w:r>
          </w:p>
        </w:tc>
        <w:tc>
          <w:tcPr>
            <w:tcW w:w="275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元素9传动件通孔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HZW01-00-4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E4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75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元素10齿槽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HZW01-00-4</w:t>
            </w:r>
          </w:p>
        </w:tc>
        <w:tc>
          <w:tcPr>
            <w:tcW w:w="22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F6</w:t>
            </w:r>
          </w:p>
        </w:tc>
      </w:tr>
    </w:tbl>
    <w:p>
      <w:pPr>
        <w:widowControl w:val="0"/>
        <w:numPr>
          <w:ilvl w:val="0"/>
          <w:numId w:val="0"/>
        </w:numPr>
        <w:wordWrap/>
        <w:adjustRightInd/>
        <w:snapToGrid/>
        <w:spacing w:beforeLines="50" w:line="540" w:lineRule="exact"/>
        <w:ind w:firstLine="562" w:firstLineChars="200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任务2  五轴数控加工（68%）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任务描述：根据标定程序及数控编程文件，利用提供的设备、工具及刀具等完成测头标定、毛坯位置找正、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刀具磨损检测、铣削加工和磨削加工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，具体任务如下：</w:t>
      </w:r>
    </w:p>
    <w:p>
      <w:pPr>
        <w:widowControl w:val="0"/>
        <w:numPr>
          <w:ilvl w:val="0"/>
          <w:numId w:val="3"/>
        </w:numPr>
        <w:wordWrap/>
        <w:adjustRightInd/>
        <w:snapToGrid/>
        <w:spacing w:line="54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在对测针安装精度进行检测的基础上，利用标准球完成测头标定和标准球复检，并在纸质《任务2记录表》文件中记录安装精度检测数据、测头标定量与复检数据，在比赛结束选手和裁判签字确认后上交纸质文件。</w:t>
      </w:r>
    </w:p>
    <w:p>
      <w:pPr>
        <w:widowControl w:val="0"/>
        <w:numPr>
          <w:ilvl w:val="0"/>
          <w:numId w:val="3"/>
        </w:numPr>
        <w:wordWrap/>
        <w:adjustRightInd/>
        <w:snapToGrid/>
        <w:spacing w:line="54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利用接触式对刀仪完成工件1齿槽开粗工步的刀具磨损检测（注：如开粗加工由多个工步完成，只对最后工步路径进行刀具磨损检测）。</w:t>
      </w:r>
    </w:p>
    <w:p>
      <w:pPr>
        <w:widowControl w:val="0"/>
        <w:numPr>
          <w:ilvl w:val="0"/>
          <w:numId w:val="3"/>
        </w:numPr>
        <w:wordWrap/>
        <w:adjustRightInd/>
        <w:snapToGrid/>
        <w:spacing w:line="54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运行数控加工程序，完成工件1和工件2的加工，管控加工过程，保证产品表面粗糙度、结构尺寸等满足工程图纸要求。</w:t>
      </w:r>
    </w:p>
    <w:p>
      <w:pPr>
        <w:widowControl w:val="0"/>
        <w:numPr>
          <w:ilvl w:val="0"/>
          <w:numId w:val="3"/>
        </w:numPr>
        <w:wordWrap/>
        <w:adjustRightInd/>
        <w:snapToGrid/>
        <w:spacing w:line="54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按照工程图中配合公差要求，对工件1和工件3进行修配，以满足工件1与工件3的装配要求。</w:t>
      </w:r>
    </w:p>
    <w:p>
      <w:pPr>
        <w:widowControl w:val="0"/>
        <w:wordWrap/>
        <w:adjustRightInd/>
        <w:snapToGrid/>
        <w:spacing w:line="540" w:lineRule="exact"/>
        <w:ind w:left="0" w:leftChars="0" w:right="0" w:firstLine="562" w:firstLineChars="200"/>
        <w:jc w:val="both"/>
        <w:textAlignment w:val="auto"/>
        <w:outlineLvl w:val="9"/>
        <w:rPr>
          <w:rFonts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任务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在机检测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%）</w:t>
      </w:r>
    </w:p>
    <w:p>
      <w:pPr>
        <w:widowControl w:val="0"/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任务描述：利用在机测量技术完成对工件1和工件2指定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尺寸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项目的在机检测，并输出检测报告，检测报告中不允许出现与规定检测尺寸无关的数据。</w:t>
      </w:r>
    </w:p>
    <w:p>
      <w:pPr>
        <w:widowControl w:val="0"/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（1）完成工件1工程图中尺寸编号②的在机检测，并输出“工件1.txt”格式检测报告；</w:t>
      </w:r>
    </w:p>
    <w:p>
      <w:pPr>
        <w:widowControl w:val="0"/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（2）完成工件2工程图中尺寸编号①③④⑥⑦⑨⑩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⑪⑰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的在机检测，并输出“工件2.txt”格式检测报告；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0"/>
        <w:gridCol w:w="2944"/>
        <w:gridCol w:w="2580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工件</w:t>
            </w:r>
          </w:p>
        </w:tc>
        <w:tc>
          <w:tcPr>
            <w:tcW w:w="294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尺寸编号</w:t>
            </w:r>
          </w:p>
        </w:tc>
        <w:tc>
          <w:tcPr>
            <w:tcW w:w="258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所在图纸号</w:t>
            </w:r>
          </w:p>
        </w:tc>
        <w:tc>
          <w:tcPr>
            <w:tcW w:w="19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工程图坐标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工件1</w:t>
            </w:r>
          </w:p>
        </w:tc>
        <w:tc>
          <w:tcPr>
            <w:tcW w:w="294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尺寸编号②</w:t>
            </w:r>
          </w:p>
        </w:tc>
        <w:tc>
          <w:tcPr>
            <w:tcW w:w="258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HZW01-00-4</w:t>
            </w:r>
          </w:p>
        </w:tc>
        <w:tc>
          <w:tcPr>
            <w:tcW w:w="19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工件2</w:t>
            </w:r>
          </w:p>
        </w:tc>
        <w:tc>
          <w:tcPr>
            <w:tcW w:w="294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尺寸编号①</w:t>
            </w:r>
          </w:p>
        </w:tc>
        <w:tc>
          <w:tcPr>
            <w:tcW w:w="258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19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B3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94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尺寸编号③</w:t>
            </w:r>
          </w:p>
        </w:tc>
        <w:tc>
          <w:tcPr>
            <w:tcW w:w="258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19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G2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94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尺寸编号④</w:t>
            </w:r>
          </w:p>
        </w:tc>
        <w:tc>
          <w:tcPr>
            <w:tcW w:w="258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19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E4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94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尺寸编号⑥</w:t>
            </w:r>
          </w:p>
        </w:tc>
        <w:tc>
          <w:tcPr>
            <w:tcW w:w="258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19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C5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94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尺寸编号⑦</w:t>
            </w:r>
          </w:p>
        </w:tc>
        <w:tc>
          <w:tcPr>
            <w:tcW w:w="258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19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94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尺寸编号⑨</w:t>
            </w:r>
          </w:p>
        </w:tc>
        <w:tc>
          <w:tcPr>
            <w:tcW w:w="258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19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94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尺寸编号⑩</w:t>
            </w:r>
          </w:p>
        </w:tc>
        <w:tc>
          <w:tcPr>
            <w:tcW w:w="258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19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F5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94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尺寸编号⑪</w:t>
            </w:r>
          </w:p>
        </w:tc>
        <w:tc>
          <w:tcPr>
            <w:tcW w:w="258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19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F6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0" w:type="dxa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944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尺寸编号⑰</w:t>
            </w:r>
          </w:p>
        </w:tc>
        <w:tc>
          <w:tcPr>
            <w:tcW w:w="258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HZW01-00-5</w:t>
            </w:r>
          </w:p>
        </w:tc>
        <w:tc>
          <w:tcPr>
            <w:tcW w:w="192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E10</w:t>
            </w:r>
          </w:p>
        </w:tc>
      </w:tr>
    </w:tbl>
    <w:p>
      <w:pPr>
        <w:widowControl w:val="0"/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>
      <w:pPr>
        <w:widowControl w:val="0"/>
        <w:wordWrap/>
        <w:adjustRightInd/>
        <w:snapToGrid/>
        <w:spacing w:line="540" w:lineRule="exact"/>
        <w:ind w:left="0" w:leftChars="0" w:right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注意：</w:t>
      </w:r>
    </w:p>
    <w:p>
      <w:pPr>
        <w:widowControl w:val="0"/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1）检测尺寸项路径须以规定格式命名：</w:t>
      </w:r>
    </w:p>
    <w:p>
      <w:pPr>
        <w:widowControl w:val="0"/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例如：尺寸编号①以“尺寸编号1”格式命名；</w:t>
      </w:r>
    </w:p>
    <w:p>
      <w:pPr>
        <w:widowControl w:val="0"/>
        <w:numPr>
          <w:ilvl w:val="0"/>
          <w:numId w:val="4"/>
        </w:numPr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比赛结束后，选手向裁判申请权限，将检测报告拷贝至优盘指定路径中上交。</w:t>
      </w:r>
    </w:p>
    <w:p>
      <w:pPr>
        <w:widowControl w:val="0"/>
        <w:wordWrap/>
        <w:adjustRightInd/>
        <w:snapToGrid/>
        <w:spacing w:before="157" w:line="540" w:lineRule="exact"/>
        <w:ind w:left="0" w:leftChars="0" w:right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任务4：装配（7%）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任务描述：根据比赛提供的工程图纸，对赛件进行装配，并在装配完成后向裁判申请检测（申请检测时间包含在比赛时间内）。裁判检测完成后，选手需要对装配体进行拆解并清理，其中轴与轴承的组合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体不需要拆卸（检测与拆卸可在比赛结束后进行）。</w:t>
      </w:r>
    </w:p>
    <w:p>
      <w:pPr>
        <w:widowControl w:val="0"/>
        <w:wordWrap/>
        <w:adjustRightInd/>
        <w:snapToGrid/>
        <w:spacing w:before="157" w:line="540" w:lineRule="exact"/>
        <w:ind w:left="0" w:leftChars="0" w:right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任务5：职业素养与操作安全（5%）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任务描述：在整个比赛期间，选手应严格遵循职业素养要求及安全操作规范，包括安全文明比赛、符合工匠精神、尊重裁判、着装整洁、操作规范、物料摆放整齐、清理清洁、资料归档完整等。</w:t>
      </w:r>
    </w:p>
    <w:p>
      <w:pPr>
        <w:widowControl w:val="0"/>
        <w:wordWrap/>
        <w:adjustRightInd/>
        <w:snapToGrid/>
        <w:spacing w:line="54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</w:t>
      </w:r>
      <w:r>
        <w:rPr>
          <w:rFonts w:ascii="仿宋_GB2312" w:hAnsi="仿宋_GB2312" w:eastAsia="仿宋_GB2312" w:cs="仿宋_GB2312"/>
          <w:color w:val="auto"/>
          <w:sz w:val="28"/>
          <w:szCs w:val="28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）选手分工合作、工作细心细致，锲而不舍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；</w:t>
      </w:r>
    </w:p>
    <w:p>
      <w:pPr>
        <w:widowControl w:val="0"/>
        <w:wordWrap/>
        <w:adjustRightInd/>
        <w:snapToGrid/>
        <w:spacing w:line="54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</w:t>
      </w:r>
      <w:r>
        <w:rPr>
          <w:rFonts w:ascii="仿宋_GB2312" w:hAnsi="仿宋_GB2312" w:eastAsia="仿宋_GB2312" w:cs="仿宋_GB2312"/>
          <w:color w:val="auto"/>
          <w:sz w:val="28"/>
          <w:szCs w:val="28"/>
          <w:highlight w:val="none"/>
        </w:rPr>
        <w:t>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）操作设备规范、生产效率较高；</w:t>
      </w:r>
    </w:p>
    <w:p>
      <w:pPr>
        <w:widowControl w:val="0"/>
        <w:wordWrap/>
        <w:adjustRightInd/>
        <w:snapToGrid/>
        <w:spacing w:line="54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</w:t>
      </w:r>
      <w:r>
        <w:rPr>
          <w:rFonts w:ascii="仿宋_GB2312" w:hAnsi="仿宋_GB2312" w:eastAsia="仿宋_GB2312" w:cs="仿宋_GB2312"/>
          <w:color w:val="auto"/>
          <w:sz w:val="28"/>
          <w:szCs w:val="28"/>
          <w:highlight w:val="none"/>
        </w:rPr>
        <w:t>3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）正确使用工具、量具；</w:t>
      </w:r>
    </w:p>
    <w:p>
      <w:pPr>
        <w:widowControl w:val="0"/>
        <w:wordWrap/>
        <w:adjustRightInd/>
        <w:snapToGrid/>
        <w:spacing w:line="54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）处理废弃物符合环保要求；</w:t>
      </w:r>
    </w:p>
    <w:p>
      <w:pPr>
        <w:widowControl w:val="0"/>
        <w:wordWrap/>
        <w:adjustRightInd/>
        <w:snapToGrid/>
        <w:spacing w:line="540" w:lineRule="exact"/>
        <w:ind w:firstLine="560" w:firstLineChars="200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）现场安全、文明生产。</w:t>
      </w:r>
    </w:p>
    <w:p>
      <w:pPr>
        <w:widowControl w:val="0"/>
        <w:wordWrap/>
        <w:adjustRightInd/>
        <w:snapToGrid/>
        <w:spacing w:beforeLines="100" w:afterLines="50" w:line="5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  <w:lang w:val="en-US" w:eastAsia="zh-CN"/>
        </w:rPr>
        <w:t>三、本项目提供的文档和资料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（1）零件2D工程图和装配图（纸质）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（2）零件、毛坯及夹具3D造型文件（IGS格式）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（3）《任务1记录表》（DOC格式）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（4）《任务2记录表》（纸质）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（5）《刀具长度预设表》（纸质）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（6）《物料清点单》（纸质）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（7）测头标定程序（TSK格式）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54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电子版文件通过优盘提供，原始文件目录如下：优盘：\2020年精雕杯五轴数控加工技术赛项\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附件1：零件、毛坯、夹具3D造型（IGS格式）文件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附件2：《任务1记录表》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240" w:lineRule="auto"/>
        <w:ind w:left="0" w:leftChars="0" w:right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附件3：标定程序</w:t>
      </w:r>
    </w:p>
    <w:p>
      <w:pPr>
        <w:widowControl w:val="0"/>
        <w:wordWrap/>
        <w:adjustRightInd/>
        <w:snapToGrid/>
        <w:spacing w:afterLines="50" w:line="560" w:lineRule="exact"/>
        <w:ind w:left="0" w:leftChars="0" w:right="0" w:firstLine="56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  <w:lang w:val="en-US" w:eastAsia="zh-CN"/>
        </w:rPr>
        <w:t>四、比赛结束时当场提交的成果与资料</w:t>
      </w:r>
    </w:p>
    <w:p>
      <w:pPr>
        <w:widowControl w:val="0"/>
        <w:numPr>
          <w:ilvl w:val="0"/>
          <w:numId w:val="0"/>
        </w:numPr>
        <w:wordWrap/>
        <w:adjustRightInd/>
        <w:snapToGrid/>
        <w:ind w:left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按比赛规定，比赛结束时，参赛队须当场提交的成果与资料：</w:t>
      </w:r>
    </w:p>
    <w:p>
      <w:pPr>
        <w:widowControl w:val="0"/>
        <w:numPr>
          <w:ilvl w:val="0"/>
          <w:numId w:val="5"/>
        </w:numPr>
        <w:wordWrap/>
        <w:adjustRightInd/>
        <w:snapToGrid/>
        <w:ind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按照任务书要求，预赛与决赛阶段完成的比赛零件；</w:t>
      </w:r>
    </w:p>
    <w:p>
      <w:pPr>
        <w:widowControl w:val="0"/>
        <w:numPr>
          <w:ilvl w:val="0"/>
          <w:numId w:val="5"/>
        </w:numPr>
        <w:wordWrap/>
        <w:adjustRightInd/>
        <w:snapToGrid/>
        <w:ind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在《任务2记录表》中签字确认后，上交纸质文件；</w:t>
      </w:r>
    </w:p>
    <w:p>
      <w:pPr>
        <w:widowControl w:val="0"/>
        <w:numPr>
          <w:ilvl w:val="0"/>
          <w:numId w:val="0"/>
        </w:numPr>
        <w:wordWrap/>
        <w:adjustRightInd/>
        <w:snapToGrid/>
        <w:ind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（3）将《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任务1记录表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》、在机检测报告、编程文件拷贝至大赛提供的优盘，上交裁判。</w:t>
      </w:r>
    </w:p>
    <w:p>
      <w:pPr>
        <w:widowControl w:val="0"/>
        <w:numPr>
          <w:ilvl w:val="0"/>
          <w:numId w:val="0"/>
        </w:numPr>
        <w:wordWrap/>
        <w:adjustRightInd/>
        <w:snapToGrid/>
        <w:ind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最终上交的优盘中所有文件须放置于统一文件夹中，文件保存路径如下：</w:t>
      </w:r>
    </w:p>
    <w:p>
      <w:pPr>
        <w:widowControl w:val="0"/>
        <w:numPr>
          <w:ilvl w:val="0"/>
          <w:numId w:val="0"/>
        </w:numPr>
        <w:wordWrap/>
        <w:adjustRightInd/>
        <w:snapToGrid/>
        <w:ind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优盘：\HZW2020\仿真文件\《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任务1记录表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》；</w:t>
      </w:r>
    </w:p>
    <w:p>
      <w:pPr>
        <w:widowControl w:val="0"/>
        <w:numPr>
          <w:ilvl w:val="0"/>
          <w:numId w:val="0"/>
        </w:numPr>
        <w:wordWrap/>
        <w:adjustRightInd/>
        <w:snapToGrid/>
        <w:ind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优盘：\HZW2020\编程文件\工件1编程文件.escam、工件2编程文件.escam；</w:t>
      </w:r>
    </w:p>
    <w:p>
      <w:pPr>
        <w:widowControl w:val="0"/>
        <w:numPr>
          <w:ilvl w:val="0"/>
          <w:numId w:val="0"/>
        </w:numPr>
        <w:wordWrap/>
        <w:adjustRightInd/>
        <w:snapToGrid/>
        <w:ind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优盘：\HZW2020\在机检测报告\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工件1.txt、工件2.txt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；</w:t>
      </w:r>
    </w:p>
    <w:p>
      <w:pPr>
        <w:widowControl w:val="0"/>
        <w:numPr>
          <w:ilvl w:val="0"/>
          <w:numId w:val="0"/>
        </w:numPr>
        <w:wordWrap/>
        <w:adjustRightInd/>
        <w:snapToGrid/>
        <w:ind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其他加工程序文件等须统一保存至以下文件夹中：</w:t>
      </w:r>
    </w:p>
    <w:p>
      <w:pPr>
        <w:widowControl w:val="0"/>
        <w:numPr>
          <w:ilvl w:val="0"/>
          <w:numId w:val="0"/>
        </w:numPr>
        <w:wordWrap/>
        <w:adjustRightInd/>
        <w:snapToGrid/>
        <w:ind w:leftChars="0" w:firstLine="56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  <w:lang w:val="en-US" w:eastAsia="zh-CN"/>
        </w:rPr>
        <w:t>优盘：\其他文件\。</w:t>
      </w:r>
    </w:p>
    <w:sectPr>
      <w:footerReference r:id="rId3" w:type="default"/>
      <w:pgSz w:w="11906" w:h="16838"/>
      <w:pgMar w:top="1440" w:right="1800" w:bottom="1440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w:pict>
        <v:shape id="文本框 1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rPr>
                    <w:sz w:val="18"/>
                  </w:rPr>
                  <w:t>19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95DFD2"/>
    <w:multiLevelType w:val="singleLevel"/>
    <w:tmpl w:val="A495DFD2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257FA273"/>
    <w:multiLevelType w:val="singleLevel"/>
    <w:tmpl w:val="257FA273"/>
    <w:lvl w:ilvl="0" w:tentative="0">
      <w:start w:val="2"/>
      <w:numFmt w:val="decimal"/>
      <w:suff w:val="nothing"/>
      <w:lvlText w:val="%1）"/>
      <w:lvlJc w:val="left"/>
    </w:lvl>
  </w:abstractNum>
  <w:abstractNum w:abstractNumId="2">
    <w:nsid w:val="2B0B76DB"/>
    <w:multiLevelType w:val="singleLevel"/>
    <w:tmpl w:val="2B0B76D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71DA00C6"/>
    <w:multiLevelType w:val="singleLevel"/>
    <w:tmpl w:val="71DA00C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37BC7A1"/>
    <w:multiLevelType w:val="singleLevel"/>
    <w:tmpl w:val="737BC7A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5B1A8C"/>
    <w:rsid w:val="00C124FB"/>
    <w:rsid w:val="01122555"/>
    <w:rsid w:val="016F5108"/>
    <w:rsid w:val="018F2651"/>
    <w:rsid w:val="02697C8E"/>
    <w:rsid w:val="029B3420"/>
    <w:rsid w:val="029D0B8C"/>
    <w:rsid w:val="02B834F8"/>
    <w:rsid w:val="02E20908"/>
    <w:rsid w:val="036C2D29"/>
    <w:rsid w:val="0377374E"/>
    <w:rsid w:val="039128CC"/>
    <w:rsid w:val="04100541"/>
    <w:rsid w:val="04325B71"/>
    <w:rsid w:val="04617A56"/>
    <w:rsid w:val="049D5EBA"/>
    <w:rsid w:val="04A51ECE"/>
    <w:rsid w:val="04DB3F84"/>
    <w:rsid w:val="04FB541E"/>
    <w:rsid w:val="050649F4"/>
    <w:rsid w:val="053C7A95"/>
    <w:rsid w:val="0555510B"/>
    <w:rsid w:val="05917AA2"/>
    <w:rsid w:val="05A8734B"/>
    <w:rsid w:val="05AB0991"/>
    <w:rsid w:val="05D72DCA"/>
    <w:rsid w:val="05E51D16"/>
    <w:rsid w:val="05FF0DE0"/>
    <w:rsid w:val="060C2C04"/>
    <w:rsid w:val="062B5C22"/>
    <w:rsid w:val="06453FB4"/>
    <w:rsid w:val="06524000"/>
    <w:rsid w:val="06CF70E6"/>
    <w:rsid w:val="06DC206E"/>
    <w:rsid w:val="06F16A36"/>
    <w:rsid w:val="06F4533D"/>
    <w:rsid w:val="074F7AF2"/>
    <w:rsid w:val="07934DDF"/>
    <w:rsid w:val="079F30E2"/>
    <w:rsid w:val="07A30368"/>
    <w:rsid w:val="08361892"/>
    <w:rsid w:val="0858685C"/>
    <w:rsid w:val="085C65C0"/>
    <w:rsid w:val="086D19DC"/>
    <w:rsid w:val="088A7414"/>
    <w:rsid w:val="089678BF"/>
    <w:rsid w:val="08D4516E"/>
    <w:rsid w:val="09227A38"/>
    <w:rsid w:val="0950696C"/>
    <w:rsid w:val="09546579"/>
    <w:rsid w:val="096346E5"/>
    <w:rsid w:val="09CF29EC"/>
    <w:rsid w:val="0A1B1EC2"/>
    <w:rsid w:val="0A3653BF"/>
    <w:rsid w:val="0A424A1B"/>
    <w:rsid w:val="0A867E43"/>
    <w:rsid w:val="0A9D5EF5"/>
    <w:rsid w:val="0AAA560B"/>
    <w:rsid w:val="0B2A7891"/>
    <w:rsid w:val="0B2E07EC"/>
    <w:rsid w:val="0B3512B3"/>
    <w:rsid w:val="0B4135EB"/>
    <w:rsid w:val="0C6E28D9"/>
    <w:rsid w:val="0CE04503"/>
    <w:rsid w:val="0CF51D29"/>
    <w:rsid w:val="0D911E32"/>
    <w:rsid w:val="0DA63C8D"/>
    <w:rsid w:val="0DAE1080"/>
    <w:rsid w:val="0DC20672"/>
    <w:rsid w:val="0E563EB8"/>
    <w:rsid w:val="0EC83390"/>
    <w:rsid w:val="0F006ABE"/>
    <w:rsid w:val="0F076C6A"/>
    <w:rsid w:val="0F1A5EDB"/>
    <w:rsid w:val="0F326BC5"/>
    <w:rsid w:val="0F3B6D11"/>
    <w:rsid w:val="0F541367"/>
    <w:rsid w:val="0F552161"/>
    <w:rsid w:val="0F7F60CD"/>
    <w:rsid w:val="0F960A27"/>
    <w:rsid w:val="0FBD182C"/>
    <w:rsid w:val="0FC3688A"/>
    <w:rsid w:val="0FE15317"/>
    <w:rsid w:val="0FFE4D7A"/>
    <w:rsid w:val="10613FD6"/>
    <w:rsid w:val="108E5CF7"/>
    <w:rsid w:val="10B45724"/>
    <w:rsid w:val="10BF692B"/>
    <w:rsid w:val="10F2111B"/>
    <w:rsid w:val="11003DFA"/>
    <w:rsid w:val="11280EEB"/>
    <w:rsid w:val="11391C1F"/>
    <w:rsid w:val="11653CED"/>
    <w:rsid w:val="11812E34"/>
    <w:rsid w:val="11B20506"/>
    <w:rsid w:val="11B42295"/>
    <w:rsid w:val="11B74FD7"/>
    <w:rsid w:val="121F56E1"/>
    <w:rsid w:val="12540BDD"/>
    <w:rsid w:val="125D6BCD"/>
    <w:rsid w:val="12D1717F"/>
    <w:rsid w:val="12DF2118"/>
    <w:rsid w:val="12E74216"/>
    <w:rsid w:val="12E95EB9"/>
    <w:rsid w:val="13021538"/>
    <w:rsid w:val="133212C5"/>
    <w:rsid w:val="13476B03"/>
    <w:rsid w:val="139A4E23"/>
    <w:rsid w:val="13A31C99"/>
    <w:rsid w:val="1430225D"/>
    <w:rsid w:val="14EC2CEE"/>
    <w:rsid w:val="1503669A"/>
    <w:rsid w:val="152B69A8"/>
    <w:rsid w:val="15CA0044"/>
    <w:rsid w:val="15CF4E8F"/>
    <w:rsid w:val="166517F6"/>
    <w:rsid w:val="16837A52"/>
    <w:rsid w:val="17414E57"/>
    <w:rsid w:val="174278CF"/>
    <w:rsid w:val="181F280F"/>
    <w:rsid w:val="18450B40"/>
    <w:rsid w:val="18721881"/>
    <w:rsid w:val="18B752F6"/>
    <w:rsid w:val="18C53446"/>
    <w:rsid w:val="18D747DB"/>
    <w:rsid w:val="18EA103A"/>
    <w:rsid w:val="19046F56"/>
    <w:rsid w:val="193E2D20"/>
    <w:rsid w:val="194B14EE"/>
    <w:rsid w:val="195232BF"/>
    <w:rsid w:val="196A4410"/>
    <w:rsid w:val="196F4A96"/>
    <w:rsid w:val="19935B27"/>
    <w:rsid w:val="199E22F0"/>
    <w:rsid w:val="199F697F"/>
    <w:rsid w:val="1A037F7C"/>
    <w:rsid w:val="1A0930DA"/>
    <w:rsid w:val="1A0C5E1F"/>
    <w:rsid w:val="1A142615"/>
    <w:rsid w:val="1A274C9A"/>
    <w:rsid w:val="1A4A47FB"/>
    <w:rsid w:val="1AA73C4C"/>
    <w:rsid w:val="1AAD6FCE"/>
    <w:rsid w:val="1B6556B8"/>
    <w:rsid w:val="1B9942B9"/>
    <w:rsid w:val="1BA9401E"/>
    <w:rsid w:val="1BFF2A68"/>
    <w:rsid w:val="1CB04E03"/>
    <w:rsid w:val="1CC019F6"/>
    <w:rsid w:val="1CEC23E0"/>
    <w:rsid w:val="1D6C33FB"/>
    <w:rsid w:val="1D994BA7"/>
    <w:rsid w:val="1DC44179"/>
    <w:rsid w:val="1E0E05F1"/>
    <w:rsid w:val="1E2E7044"/>
    <w:rsid w:val="1E39113D"/>
    <w:rsid w:val="1EB016D2"/>
    <w:rsid w:val="1F1B4698"/>
    <w:rsid w:val="1F612A6D"/>
    <w:rsid w:val="1F6B0698"/>
    <w:rsid w:val="1F996FD7"/>
    <w:rsid w:val="1FB81385"/>
    <w:rsid w:val="1FBA647A"/>
    <w:rsid w:val="205033CC"/>
    <w:rsid w:val="20774F9E"/>
    <w:rsid w:val="20CE4C9D"/>
    <w:rsid w:val="210E634C"/>
    <w:rsid w:val="21113A52"/>
    <w:rsid w:val="2116789E"/>
    <w:rsid w:val="212207B1"/>
    <w:rsid w:val="21314532"/>
    <w:rsid w:val="216C3782"/>
    <w:rsid w:val="21813DBD"/>
    <w:rsid w:val="219778AA"/>
    <w:rsid w:val="21B740B7"/>
    <w:rsid w:val="21C96528"/>
    <w:rsid w:val="226F03E8"/>
    <w:rsid w:val="228D1176"/>
    <w:rsid w:val="2372065B"/>
    <w:rsid w:val="23C767CB"/>
    <w:rsid w:val="23E17E5B"/>
    <w:rsid w:val="23F620C0"/>
    <w:rsid w:val="23FF53EB"/>
    <w:rsid w:val="2402143F"/>
    <w:rsid w:val="24186F8D"/>
    <w:rsid w:val="24871A94"/>
    <w:rsid w:val="248D465C"/>
    <w:rsid w:val="24BA1D98"/>
    <w:rsid w:val="25814695"/>
    <w:rsid w:val="25873088"/>
    <w:rsid w:val="2607506B"/>
    <w:rsid w:val="261C14B1"/>
    <w:rsid w:val="26EF1979"/>
    <w:rsid w:val="286C3370"/>
    <w:rsid w:val="28D275B8"/>
    <w:rsid w:val="29204B0E"/>
    <w:rsid w:val="29656584"/>
    <w:rsid w:val="29982461"/>
    <w:rsid w:val="29E57456"/>
    <w:rsid w:val="2A457169"/>
    <w:rsid w:val="2A595E7E"/>
    <w:rsid w:val="2A6F1FC3"/>
    <w:rsid w:val="2B083E25"/>
    <w:rsid w:val="2B8610DC"/>
    <w:rsid w:val="2B990E71"/>
    <w:rsid w:val="2C064DDA"/>
    <w:rsid w:val="2C1D7E69"/>
    <w:rsid w:val="2C367C68"/>
    <w:rsid w:val="2C387CAA"/>
    <w:rsid w:val="2C5C2215"/>
    <w:rsid w:val="2C89002F"/>
    <w:rsid w:val="2C966523"/>
    <w:rsid w:val="2CA060A1"/>
    <w:rsid w:val="2CFC5607"/>
    <w:rsid w:val="2D6367D3"/>
    <w:rsid w:val="2DF16026"/>
    <w:rsid w:val="2E42697A"/>
    <w:rsid w:val="2E52169D"/>
    <w:rsid w:val="2E5D71D4"/>
    <w:rsid w:val="2E623491"/>
    <w:rsid w:val="2E694EE1"/>
    <w:rsid w:val="2EB21A3A"/>
    <w:rsid w:val="2F2A240E"/>
    <w:rsid w:val="2F8F1C08"/>
    <w:rsid w:val="2F900A6A"/>
    <w:rsid w:val="2FA37A0C"/>
    <w:rsid w:val="2FBE0492"/>
    <w:rsid w:val="303E713C"/>
    <w:rsid w:val="303E7A77"/>
    <w:rsid w:val="308E7CB4"/>
    <w:rsid w:val="30F41C83"/>
    <w:rsid w:val="31052CE6"/>
    <w:rsid w:val="31205164"/>
    <w:rsid w:val="31300DF9"/>
    <w:rsid w:val="3158703D"/>
    <w:rsid w:val="31587287"/>
    <w:rsid w:val="31890F0C"/>
    <w:rsid w:val="31B04241"/>
    <w:rsid w:val="31C61BD9"/>
    <w:rsid w:val="31F65452"/>
    <w:rsid w:val="31F92D60"/>
    <w:rsid w:val="320A3F55"/>
    <w:rsid w:val="323175F3"/>
    <w:rsid w:val="32BF278D"/>
    <w:rsid w:val="33591A6B"/>
    <w:rsid w:val="33823F26"/>
    <w:rsid w:val="33AA0A8B"/>
    <w:rsid w:val="33B039CF"/>
    <w:rsid w:val="33C31F4D"/>
    <w:rsid w:val="33EB02C4"/>
    <w:rsid w:val="33FB0D1E"/>
    <w:rsid w:val="34262B53"/>
    <w:rsid w:val="34306CA6"/>
    <w:rsid w:val="344C7F9D"/>
    <w:rsid w:val="34A54F94"/>
    <w:rsid w:val="34BE10C6"/>
    <w:rsid w:val="34C43163"/>
    <w:rsid w:val="35344C9B"/>
    <w:rsid w:val="35973D58"/>
    <w:rsid w:val="35AA1D39"/>
    <w:rsid w:val="35B81332"/>
    <w:rsid w:val="364C7A20"/>
    <w:rsid w:val="364E51B0"/>
    <w:rsid w:val="36840427"/>
    <w:rsid w:val="36D90030"/>
    <w:rsid w:val="373A03E1"/>
    <w:rsid w:val="380421EB"/>
    <w:rsid w:val="383F4E3B"/>
    <w:rsid w:val="389125F7"/>
    <w:rsid w:val="38BE68AD"/>
    <w:rsid w:val="38C10019"/>
    <w:rsid w:val="38C4789E"/>
    <w:rsid w:val="39051402"/>
    <w:rsid w:val="3959541B"/>
    <w:rsid w:val="399E0CD7"/>
    <w:rsid w:val="39D90056"/>
    <w:rsid w:val="39D91A75"/>
    <w:rsid w:val="3A1113C3"/>
    <w:rsid w:val="3A840F8D"/>
    <w:rsid w:val="3B351E8F"/>
    <w:rsid w:val="3B6B33DB"/>
    <w:rsid w:val="3BDE134A"/>
    <w:rsid w:val="3C2D3EBD"/>
    <w:rsid w:val="3C9D419C"/>
    <w:rsid w:val="3CA51FF9"/>
    <w:rsid w:val="3CBC75DC"/>
    <w:rsid w:val="3CC114A6"/>
    <w:rsid w:val="3CC57E08"/>
    <w:rsid w:val="3CC617CC"/>
    <w:rsid w:val="3CC9444E"/>
    <w:rsid w:val="3CE52E16"/>
    <w:rsid w:val="3CF86C40"/>
    <w:rsid w:val="3D084B4B"/>
    <w:rsid w:val="3D611A83"/>
    <w:rsid w:val="3D7422E7"/>
    <w:rsid w:val="3D9B6CB7"/>
    <w:rsid w:val="3E075473"/>
    <w:rsid w:val="3E10661C"/>
    <w:rsid w:val="3E2F7DAA"/>
    <w:rsid w:val="3E3930EA"/>
    <w:rsid w:val="3F953B2C"/>
    <w:rsid w:val="3FA94918"/>
    <w:rsid w:val="3FDB4D44"/>
    <w:rsid w:val="3FE56D41"/>
    <w:rsid w:val="3FF33F42"/>
    <w:rsid w:val="40087D87"/>
    <w:rsid w:val="40110CE7"/>
    <w:rsid w:val="40285987"/>
    <w:rsid w:val="40323123"/>
    <w:rsid w:val="405C06D1"/>
    <w:rsid w:val="40612C65"/>
    <w:rsid w:val="40F118FD"/>
    <w:rsid w:val="4154403C"/>
    <w:rsid w:val="417E6825"/>
    <w:rsid w:val="41BE2148"/>
    <w:rsid w:val="41DD1380"/>
    <w:rsid w:val="41EE22FB"/>
    <w:rsid w:val="42681794"/>
    <w:rsid w:val="4290224A"/>
    <w:rsid w:val="42F30D77"/>
    <w:rsid w:val="431F25B2"/>
    <w:rsid w:val="43213BFD"/>
    <w:rsid w:val="432549CE"/>
    <w:rsid w:val="43576E70"/>
    <w:rsid w:val="435A384D"/>
    <w:rsid w:val="437A42BD"/>
    <w:rsid w:val="43A66F5C"/>
    <w:rsid w:val="43BA6E21"/>
    <w:rsid w:val="43EE1C82"/>
    <w:rsid w:val="44121E82"/>
    <w:rsid w:val="446631D0"/>
    <w:rsid w:val="44D9279E"/>
    <w:rsid w:val="44EF5985"/>
    <w:rsid w:val="44F52F18"/>
    <w:rsid w:val="456B77A0"/>
    <w:rsid w:val="4598493A"/>
    <w:rsid w:val="45A22B93"/>
    <w:rsid w:val="45FF5428"/>
    <w:rsid w:val="460022FC"/>
    <w:rsid w:val="460E6D20"/>
    <w:rsid w:val="4621507F"/>
    <w:rsid w:val="46534C6F"/>
    <w:rsid w:val="4665004D"/>
    <w:rsid w:val="466F57FF"/>
    <w:rsid w:val="467A3741"/>
    <w:rsid w:val="46CD6AA8"/>
    <w:rsid w:val="46E34CE6"/>
    <w:rsid w:val="47154A6F"/>
    <w:rsid w:val="4754603D"/>
    <w:rsid w:val="47AE5D75"/>
    <w:rsid w:val="47B07328"/>
    <w:rsid w:val="47B5194E"/>
    <w:rsid w:val="47E248E9"/>
    <w:rsid w:val="47FF1A0C"/>
    <w:rsid w:val="48455B8F"/>
    <w:rsid w:val="487F29F8"/>
    <w:rsid w:val="48A106C2"/>
    <w:rsid w:val="490B31D6"/>
    <w:rsid w:val="49107CF1"/>
    <w:rsid w:val="49BC5DA3"/>
    <w:rsid w:val="49E7523A"/>
    <w:rsid w:val="49FB6B8C"/>
    <w:rsid w:val="4A000482"/>
    <w:rsid w:val="4A076BD9"/>
    <w:rsid w:val="4A2A2C31"/>
    <w:rsid w:val="4A570B51"/>
    <w:rsid w:val="4A776A34"/>
    <w:rsid w:val="4AAB22CE"/>
    <w:rsid w:val="4B2A72AC"/>
    <w:rsid w:val="4B2B536C"/>
    <w:rsid w:val="4B327C6F"/>
    <w:rsid w:val="4B3E6D4B"/>
    <w:rsid w:val="4B5B1E5F"/>
    <w:rsid w:val="4B5F3D1B"/>
    <w:rsid w:val="4BBE2440"/>
    <w:rsid w:val="4BC67D26"/>
    <w:rsid w:val="4BE87D15"/>
    <w:rsid w:val="4C041183"/>
    <w:rsid w:val="4C183189"/>
    <w:rsid w:val="4C293507"/>
    <w:rsid w:val="4C37652A"/>
    <w:rsid w:val="4C627B2E"/>
    <w:rsid w:val="4C632F79"/>
    <w:rsid w:val="4C9554ED"/>
    <w:rsid w:val="4CCB1C7F"/>
    <w:rsid w:val="4CF06F2F"/>
    <w:rsid w:val="4D16477D"/>
    <w:rsid w:val="4D656995"/>
    <w:rsid w:val="4E431E89"/>
    <w:rsid w:val="4E496D51"/>
    <w:rsid w:val="4EA24401"/>
    <w:rsid w:val="4EA56AD3"/>
    <w:rsid w:val="4F1613FC"/>
    <w:rsid w:val="4F30372C"/>
    <w:rsid w:val="4F4A576C"/>
    <w:rsid w:val="4F5A5E6A"/>
    <w:rsid w:val="50082314"/>
    <w:rsid w:val="500F10B6"/>
    <w:rsid w:val="51216D06"/>
    <w:rsid w:val="51953A5F"/>
    <w:rsid w:val="51B04FE6"/>
    <w:rsid w:val="51E815FE"/>
    <w:rsid w:val="52631661"/>
    <w:rsid w:val="53004E9C"/>
    <w:rsid w:val="532B115D"/>
    <w:rsid w:val="53356D04"/>
    <w:rsid w:val="533C5EC2"/>
    <w:rsid w:val="53441C1E"/>
    <w:rsid w:val="53663571"/>
    <w:rsid w:val="537F01C8"/>
    <w:rsid w:val="53866C5C"/>
    <w:rsid w:val="53CB7C5B"/>
    <w:rsid w:val="54217848"/>
    <w:rsid w:val="54411D48"/>
    <w:rsid w:val="54450FB7"/>
    <w:rsid w:val="54AC278F"/>
    <w:rsid w:val="54BF09F0"/>
    <w:rsid w:val="54F86948"/>
    <w:rsid w:val="55686FEE"/>
    <w:rsid w:val="55AB6992"/>
    <w:rsid w:val="562D0D88"/>
    <w:rsid w:val="563F3D5E"/>
    <w:rsid w:val="566551CD"/>
    <w:rsid w:val="56E52BAD"/>
    <w:rsid w:val="57855531"/>
    <w:rsid w:val="57C95DEE"/>
    <w:rsid w:val="57DE691D"/>
    <w:rsid w:val="583147AA"/>
    <w:rsid w:val="58855954"/>
    <w:rsid w:val="58F1347D"/>
    <w:rsid w:val="59172E4E"/>
    <w:rsid w:val="59226102"/>
    <w:rsid w:val="59CF6F69"/>
    <w:rsid w:val="59D002D3"/>
    <w:rsid w:val="59F064A5"/>
    <w:rsid w:val="59F534D2"/>
    <w:rsid w:val="5A0A1097"/>
    <w:rsid w:val="5A583006"/>
    <w:rsid w:val="5A7208FA"/>
    <w:rsid w:val="5AF97346"/>
    <w:rsid w:val="5B9509AE"/>
    <w:rsid w:val="5BBE1E80"/>
    <w:rsid w:val="5BFE6932"/>
    <w:rsid w:val="5C2A10E8"/>
    <w:rsid w:val="5C40134B"/>
    <w:rsid w:val="5C5C54D0"/>
    <w:rsid w:val="5C6E7712"/>
    <w:rsid w:val="5C9E583D"/>
    <w:rsid w:val="5DF50F15"/>
    <w:rsid w:val="5DFA70E3"/>
    <w:rsid w:val="5E662082"/>
    <w:rsid w:val="5EAD1AB6"/>
    <w:rsid w:val="5EC13A6A"/>
    <w:rsid w:val="5EEB1AC8"/>
    <w:rsid w:val="5EF8124F"/>
    <w:rsid w:val="5F4C6887"/>
    <w:rsid w:val="603D41A9"/>
    <w:rsid w:val="6057008C"/>
    <w:rsid w:val="60F1346E"/>
    <w:rsid w:val="610D52E8"/>
    <w:rsid w:val="611C7E1D"/>
    <w:rsid w:val="61236658"/>
    <w:rsid w:val="61374331"/>
    <w:rsid w:val="615C348E"/>
    <w:rsid w:val="616F60B9"/>
    <w:rsid w:val="61793DBE"/>
    <w:rsid w:val="61865DFC"/>
    <w:rsid w:val="623F123B"/>
    <w:rsid w:val="626E2D01"/>
    <w:rsid w:val="62806A12"/>
    <w:rsid w:val="628C0FC3"/>
    <w:rsid w:val="62921F26"/>
    <w:rsid w:val="62AD5B2D"/>
    <w:rsid w:val="62C27B2D"/>
    <w:rsid w:val="630F6DB3"/>
    <w:rsid w:val="63233D97"/>
    <w:rsid w:val="63412D17"/>
    <w:rsid w:val="63650709"/>
    <w:rsid w:val="637174F5"/>
    <w:rsid w:val="63953C9D"/>
    <w:rsid w:val="63964E12"/>
    <w:rsid w:val="63EB535E"/>
    <w:rsid w:val="63F75BED"/>
    <w:rsid w:val="63F824E8"/>
    <w:rsid w:val="645C7D78"/>
    <w:rsid w:val="64A42CF2"/>
    <w:rsid w:val="65743928"/>
    <w:rsid w:val="65A40241"/>
    <w:rsid w:val="65D41715"/>
    <w:rsid w:val="662103FD"/>
    <w:rsid w:val="66A86421"/>
    <w:rsid w:val="66B06539"/>
    <w:rsid w:val="66E86FF2"/>
    <w:rsid w:val="67797C93"/>
    <w:rsid w:val="679D671B"/>
    <w:rsid w:val="67D55589"/>
    <w:rsid w:val="6809591F"/>
    <w:rsid w:val="681B2B69"/>
    <w:rsid w:val="68446A8F"/>
    <w:rsid w:val="68520DEE"/>
    <w:rsid w:val="689B291E"/>
    <w:rsid w:val="68E02BE6"/>
    <w:rsid w:val="69175420"/>
    <w:rsid w:val="693357B9"/>
    <w:rsid w:val="69B4499D"/>
    <w:rsid w:val="6A137B1F"/>
    <w:rsid w:val="6A175CC9"/>
    <w:rsid w:val="6A814195"/>
    <w:rsid w:val="6AB93C85"/>
    <w:rsid w:val="6AEF2077"/>
    <w:rsid w:val="6B3531A3"/>
    <w:rsid w:val="6BFF45BA"/>
    <w:rsid w:val="6C2A4B49"/>
    <w:rsid w:val="6C4032D2"/>
    <w:rsid w:val="6CAD120D"/>
    <w:rsid w:val="6CB00F40"/>
    <w:rsid w:val="6CE2710E"/>
    <w:rsid w:val="6CE76AB6"/>
    <w:rsid w:val="6CF00C8E"/>
    <w:rsid w:val="6CFC61E5"/>
    <w:rsid w:val="6D086DE0"/>
    <w:rsid w:val="6D716121"/>
    <w:rsid w:val="6E73482B"/>
    <w:rsid w:val="6ECA0D92"/>
    <w:rsid w:val="6F30627A"/>
    <w:rsid w:val="6F366018"/>
    <w:rsid w:val="6F646806"/>
    <w:rsid w:val="6F8C4684"/>
    <w:rsid w:val="6F9D6FF4"/>
    <w:rsid w:val="6FCD1CC7"/>
    <w:rsid w:val="6FDD07E1"/>
    <w:rsid w:val="6FEB6422"/>
    <w:rsid w:val="708104CA"/>
    <w:rsid w:val="709827CF"/>
    <w:rsid w:val="70F74018"/>
    <w:rsid w:val="70F75F06"/>
    <w:rsid w:val="71F3652B"/>
    <w:rsid w:val="71F945BB"/>
    <w:rsid w:val="72096C62"/>
    <w:rsid w:val="722103D4"/>
    <w:rsid w:val="7274703E"/>
    <w:rsid w:val="72B67B0D"/>
    <w:rsid w:val="72FE66ED"/>
    <w:rsid w:val="73066E5A"/>
    <w:rsid w:val="732C117C"/>
    <w:rsid w:val="73AB7FC1"/>
    <w:rsid w:val="73D3442D"/>
    <w:rsid w:val="73D61474"/>
    <w:rsid w:val="74194B9A"/>
    <w:rsid w:val="743028C8"/>
    <w:rsid w:val="750614DB"/>
    <w:rsid w:val="752C0E9F"/>
    <w:rsid w:val="753F298B"/>
    <w:rsid w:val="75623C65"/>
    <w:rsid w:val="75D54542"/>
    <w:rsid w:val="765F2775"/>
    <w:rsid w:val="767541B8"/>
    <w:rsid w:val="76804C72"/>
    <w:rsid w:val="769D2686"/>
    <w:rsid w:val="76D22E93"/>
    <w:rsid w:val="770B75FF"/>
    <w:rsid w:val="772273C1"/>
    <w:rsid w:val="773D1822"/>
    <w:rsid w:val="77B35EB9"/>
    <w:rsid w:val="77BF4115"/>
    <w:rsid w:val="77C04B37"/>
    <w:rsid w:val="77DE6964"/>
    <w:rsid w:val="78223B6D"/>
    <w:rsid w:val="786D6BCE"/>
    <w:rsid w:val="788F730C"/>
    <w:rsid w:val="78CB33F9"/>
    <w:rsid w:val="79074CD8"/>
    <w:rsid w:val="79B417B9"/>
    <w:rsid w:val="79DA2EE4"/>
    <w:rsid w:val="79F8295F"/>
    <w:rsid w:val="7A336DBD"/>
    <w:rsid w:val="7A7116C0"/>
    <w:rsid w:val="7A9C646F"/>
    <w:rsid w:val="7AA05C54"/>
    <w:rsid w:val="7BAF3289"/>
    <w:rsid w:val="7BC87D90"/>
    <w:rsid w:val="7C452BF3"/>
    <w:rsid w:val="7C8C573A"/>
    <w:rsid w:val="7C8D073A"/>
    <w:rsid w:val="7C9C3706"/>
    <w:rsid w:val="7CA06C11"/>
    <w:rsid w:val="7D4760C8"/>
    <w:rsid w:val="7D5B05BA"/>
    <w:rsid w:val="7D8A31DB"/>
    <w:rsid w:val="7E0239E0"/>
    <w:rsid w:val="7E04486B"/>
    <w:rsid w:val="7E145C1E"/>
    <w:rsid w:val="7E2B1E35"/>
    <w:rsid w:val="7E484FEA"/>
    <w:rsid w:val="7E9C1D99"/>
    <w:rsid w:val="7EB23938"/>
    <w:rsid w:val="7EBF05F1"/>
    <w:rsid w:val="7EC31D7B"/>
    <w:rsid w:val="7F221151"/>
    <w:rsid w:val="7F6C46FA"/>
    <w:rsid w:val="7FF82D5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next w:val="3"/>
    <w:unhideWhenUsed/>
    <w:qFormat/>
    <w:uiPriority w:val="99"/>
    <w:pPr>
      <w:widowControl w:val="0"/>
      <w:spacing w:before="0" w:after="0" w:line="240" w:lineRule="auto"/>
      <w:ind w:left="0" w:firstLine="0"/>
      <w:jc w:val="both"/>
    </w:pPr>
    <w:rPr>
      <w:rFonts w:ascii="Calibri" w:eastAsia="宋体"/>
      <w:sz w:val="20"/>
    </w:rPr>
  </w:style>
  <w:style w:type="paragraph" w:customStyle="1" w:styleId="3">
    <w:name w:val="Quote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Calibri" w:hAnsi="Calibri" w:eastAsia="宋体" w:cs="黑体"/>
      <w:i/>
      <w:sz w:val="21"/>
      <w:szCs w:val="22"/>
      <w:lang w:val="en-US" w:eastAsia="zh-CN" w:bidi="ar-SA"/>
    </w:r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table" w:styleId="8">
    <w:name w:val="Table Grid"/>
    <w:basedOn w:val="7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470</Words>
  <Characters>2682</Characters>
  <Lines>22</Lines>
  <Paragraphs>6</Paragraphs>
  <TotalTime>45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2017-04-22T14:29:00Z</dcterms:created>
  <dc:creator>dell</dc:creator>
  <cp:lastModifiedBy>面包</cp:lastModifiedBy>
  <cp:lastPrinted>2017-04-25T08:54:00Z</cp:lastPrinted>
  <dcterms:modified xsi:type="dcterms:W3CDTF">2020-11-13T05:26:38Z</dcterms:modified>
  <dc:title>2019年全国机械行业职业院校技能大赛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