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s="仿宋_GB2312"/>
          <w:b/>
          <w:sz w:val="36"/>
          <w:szCs w:val="36"/>
        </w:rPr>
      </w:pPr>
      <w:r>
        <w:rPr>
          <w:rFonts w:hint="eastAsia" w:ascii="黑体" w:hAnsi="黑体" w:eastAsia="黑体" w:cs="仿宋_GB2312"/>
          <w:b/>
          <w:color w:val="000000"/>
          <w:sz w:val="36"/>
          <w:szCs w:val="36"/>
        </w:rPr>
        <w:t>2020年度机械行业职业教育技能大赛</w:t>
      </w:r>
    </w:p>
    <w:p>
      <w:pPr>
        <w:snapToGrid w:val="0"/>
        <w:spacing w:line="540" w:lineRule="exact"/>
        <w:jc w:val="center"/>
        <w:rPr>
          <w:rFonts w:ascii="Arial Narrow" w:hAnsi="Arial Narrow" w:eastAsia="黑体"/>
          <w:b/>
          <w:sz w:val="36"/>
          <w:szCs w:val="36"/>
        </w:rPr>
      </w:pPr>
      <w:r>
        <w:rPr>
          <w:rFonts w:hint="eastAsia" w:ascii="黑体" w:hAnsi="黑体" w:eastAsia="黑体" w:cs="仿宋_GB2312"/>
          <w:b/>
          <w:color w:val="000000"/>
          <w:sz w:val="36"/>
          <w:szCs w:val="36"/>
        </w:rPr>
        <w:t>“宜科杯”工业互联网平台应用技术</w:t>
      </w:r>
      <w:r>
        <w:rPr>
          <w:rFonts w:hint="eastAsia" w:ascii="黑体" w:hAnsi="黑体" w:eastAsia="黑体" w:cs="仿宋_GB2312"/>
          <w:b/>
          <w:sz w:val="36"/>
          <w:szCs w:val="36"/>
        </w:rPr>
        <w:t>赛项竞赛规程</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一、赛项名称</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工业互联网平台应用技术</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二、赛项组别</w:t>
      </w:r>
      <w:r>
        <w:rPr>
          <w:rFonts w:ascii="Arial Narrow" w:hAnsi="Arial Narrow" w:eastAsia="仿宋_GB2312" w:cs="Arial"/>
          <w:b/>
          <w:bCs/>
          <w:color w:val="000000"/>
          <w:sz w:val="30"/>
          <w:szCs w:val="30"/>
        </w:rPr>
        <w:t>及</w:t>
      </w:r>
      <w:r>
        <w:rPr>
          <w:rFonts w:hint="eastAsia" w:ascii="Arial Narrow" w:hAnsi="Arial Narrow" w:eastAsia="仿宋_GB2312" w:cs="Arial"/>
          <w:b/>
          <w:bCs/>
          <w:color w:val="000000"/>
          <w:sz w:val="30"/>
          <w:szCs w:val="30"/>
        </w:rPr>
        <w:t>参赛对象</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（一）赛项组别</w:t>
      </w:r>
    </w:p>
    <w:p>
      <w:pPr>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高职组</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（二）参赛对象</w:t>
      </w:r>
    </w:p>
    <w:p>
      <w:pPr>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年龄在16至25周岁(含)之间(1995年7月1日后至2004年6月30日前出生)的全日制在籍学生。本次大赛为团队赛。每校限报2队，每队2人，每队限报指导教师2名，领队1名。</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三、竞赛拟定时间及地点</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（一）竞赛</w:t>
      </w:r>
      <w:r>
        <w:rPr>
          <w:rFonts w:ascii="楷体" w:hAnsi="楷体" w:eastAsia="楷体" w:cs="仿宋"/>
          <w:sz w:val="30"/>
          <w:szCs w:val="30"/>
        </w:rPr>
        <w:t>时间</w:t>
      </w:r>
    </w:p>
    <w:p>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2020</w:t>
      </w:r>
      <w:r>
        <w:rPr>
          <w:rFonts w:ascii="仿宋" w:hAnsi="仿宋" w:eastAsia="仿宋" w:cs="仿宋"/>
          <w:sz w:val="30"/>
          <w:szCs w:val="30"/>
        </w:rPr>
        <w:t>年11月21</w:t>
      </w:r>
      <w:r>
        <w:rPr>
          <w:rFonts w:hint="eastAsia" w:ascii="仿宋" w:hAnsi="仿宋" w:eastAsia="仿宋" w:cs="仿宋"/>
          <w:sz w:val="30"/>
          <w:szCs w:val="30"/>
        </w:rPr>
        <w:t>日-</w:t>
      </w:r>
      <w:r>
        <w:rPr>
          <w:rFonts w:ascii="仿宋" w:hAnsi="仿宋" w:eastAsia="仿宋" w:cs="仿宋"/>
          <w:sz w:val="30"/>
          <w:szCs w:val="30"/>
        </w:rPr>
        <w:t>22</w:t>
      </w:r>
      <w:r>
        <w:rPr>
          <w:rFonts w:hint="eastAsia" w:ascii="仿宋" w:hAnsi="仿宋" w:eastAsia="仿宋" w:cs="仿宋"/>
          <w:sz w:val="30"/>
          <w:szCs w:val="30"/>
        </w:rPr>
        <w:t>日</w:t>
      </w:r>
      <w:r>
        <w:rPr>
          <w:rFonts w:ascii="仿宋" w:hAnsi="仿宋" w:eastAsia="仿宋" w:cs="仿宋"/>
          <w:sz w:val="30"/>
          <w:szCs w:val="30"/>
        </w:rPr>
        <w:t>。</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（二）竞赛</w:t>
      </w:r>
      <w:r>
        <w:rPr>
          <w:rFonts w:ascii="楷体" w:hAnsi="楷体" w:eastAsia="楷体" w:cs="仿宋"/>
          <w:sz w:val="30"/>
          <w:szCs w:val="30"/>
        </w:rPr>
        <w:t>地点</w:t>
      </w:r>
    </w:p>
    <w:p>
      <w:pPr>
        <w:spacing w:line="560" w:lineRule="exact"/>
        <w:ind w:firstLine="600" w:firstLineChars="200"/>
        <w:jc w:val="left"/>
        <w:rPr>
          <w:rFonts w:ascii="仿宋_GB2312" w:hAnsi="宋体" w:eastAsia="仿宋_GB2312"/>
          <w:kern w:val="0"/>
          <w:sz w:val="30"/>
          <w:szCs w:val="30"/>
        </w:rPr>
      </w:pPr>
      <w:r>
        <w:rPr>
          <w:rFonts w:hint="eastAsia" w:ascii="仿宋_GB2312" w:hAnsi="宋体" w:eastAsia="仿宋_GB2312"/>
          <w:kern w:val="0"/>
          <w:sz w:val="30"/>
          <w:szCs w:val="30"/>
        </w:rPr>
        <w:t>重庆工业职业技术学院（重庆市渝北区（空港</w:t>
      </w:r>
      <w:r>
        <w:rPr>
          <w:rFonts w:ascii="仿宋_GB2312" w:hAnsi="宋体" w:eastAsia="仿宋_GB2312"/>
          <w:kern w:val="0"/>
          <w:sz w:val="30"/>
          <w:szCs w:val="30"/>
        </w:rPr>
        <w:t>）</w:t>
      </w:r>
      <w:r>
        <w:rPr>
          <w:rFonts w:hint="eastAsia" w:ascii="仿宋_GB2312" w:hAnsi="宋体" w:eastAsia="仿宋_GB2312"/>
          <w:kern w:val="0"/>
          <w:sz w:val="30"/>
          <w:szCs w:val="30"/>
        </w:rPr>
        <w:t>桃源大道1000号）。</w:t>
      </w:r>
    </w:p>
    <w:p>
      <w:pPr>
        <w:spacing w:line="560" w:lineRule="exact"/>
        <w:ind w:firstLine="600" w:firstLineChars="200"/>
        <w:jc w:val="left"/>
        <w:rPr>
          <w:rFonts w:ascii="仿宋_GB2312" w:hAnsi="仿宋_GB2312" w:eastAsia="仿宋_GB2312" w:cs="仿宋_GB2312"/>
          <w:sz w:val="30"/>
          <w:szCs w:val="30"/>
        </w:rPr>
      </w:pPr>
      <w:r>
        <w:rPr>
          <w:rFonts w:hint="eastAsia" w:ascii="仿宋" w:hAnsi="仿宋" w:eastAsia="仿宋" w:cs="仿宋"/>
          <w:sz w:val="30"/>
          <w:szCs w:val="30"/>
        </w:rPr>
        <w:t>报到地点和住宿酒店等安排详见报到通知。</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四、竞赛方式与内容</w:t>
      </w:r>
    </w:p>
    <w:p>
      <w:pPr>
        <w:snapToGrid w:val="0"/>
        <w:spacing w:line="540" w:lineRule="exact"/>
        <w:ind w:firstLine="600" w:firstLineChars="200"/>
        <w:rPr>
          <w:rFonts w:ascii="Arial Narrow" w:hAnsi="Arial Narrow" w:eastAsia="仿宋_GB2312" w:cs="Arial"/>
          <w:color w:val="000000"/>
          <w:sz w:val="30"/>
          <w:szCs w:val="30"/>
        </w:rPr>
      </w:pPr>
      <w:r>
        <w:rPr>
          <w:rFonts w:hint="eastAsia" w:ascii="楷体" w:hAnsi="楷体" w:eastAsia="楷体" w:cs="仿宋"/>
          <w:sz w:val="30"/>
          <w:szCs w:val="30"/>
        </w:rPr>
        <w:t>（一）</w:t>
      </w:r>
      <w:r>
        <w:rPr>
          <w:rFonts w:hint="eastAsia" w:ascii="Arial Narrow" w:hAnsi="Arial Narrow" w:eastAsia="仿宋_GB2312" w:cs="Arial"/>
          <w:color w:val="000000"/>
          <w:sz w:val="30"/>
          <w:szCs w:val="30"/>
        </w:rPr>
        <w:t>本次大赛为团队赛。每校限报2队，每队2人。</w:t>
      </w:r>
    </w:p>
    <w:p>
      <w:pPr>
        <w:snapToGrid w:val="0"/>
        <w:spacing w:line="540" w:lineRule="exact"/>
        <w:ind w:firstLine="600" w:firstLineChars="200"/>
        <w:rPr>
          <w:rFonts w:ascii="Arial Narrow" w:hAnsi="Arial Narrow" w:eastAsia="仿宋_GB2312" w:cs="Arial"/>
          <w:color w:val="000000"/>
          <w:sz w:val="30"/>
          <w:szCs w:val="30"/>
        </w:rPr>
      </w:pPr>
      <w:r>
        <w:rPr>
          <w:rFonts w:hint="eastAsia" w:ascii="楷体" w:hAnsi="楷体" w:eastAsia="楷体" w:cs="仿宋"/>
          <w:sz w:val="30"/>
          <w:szCs w:val="30"/>
        </w:rPr>
        <w:t>（二）</w:t>
      </w:r>
      <w:r>
        <w:rPr>
          <w:rFonts w:hint="eastAsia" w:ascii="Arial Narrow" w:hAnsi="Arial Narrow" w:eastAsia="仿宋_GB2312" w:cs="Arial"/>
          <w:color w:val="000000"/>
          <w:sz w:val="30"/>
          <w:szCs w:val="30"/>
        </w:rPr>
        <w:t>竞赛方式</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竞赛以实际操作技能方式进行，由每队选手共同完成。</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（三）竞赛时间</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实际操作竞赛时间180分钟。</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（四）成绩计算</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实际操作成绩总分100分。实操成绩按参赛队计分，每参赛队2名选手成绩相同。</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如果参赛选手总成绩相同，实际操作竞赛时间短的选手名次在前。</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（五</w:t>
      </w:r>
      <w:r>
        <w:rPr>
          <w:rFonts w:ascii="Arial Narrow" w:hAnsi="Arial Narrow" w:eastAsia="仿宋_GB2312" w:cs="Arial"/>
          <w:color w:val="000000"/>
          <w:sz w:val="30"/>
          <w:szCs w:val="30"/>
        </w:rPr>
        <w:t>）</w:t>
      </w:r>
      <w:r>
        <w:rPr>
          <w:rFonts w:hint="eastAsia" w:ascii="Arial Narrow" w:hAnsi="Arial Narrow" w:eastAsia="仿宋_GB2312" w:cs="Arial"/>
          <w:color w:val="000000"/>
          <w:sz w:val="30"/>
          <w:szCs w:val="30"/>
        </w:rPr>
        <w:t>竞赛内容</w:t>
      </w:r>
    </w:p>
    <w:p>
      <w:pPr>
        <w:spacing w:line="360" w:lineRule="auto"/>
        <w:ind w:firstLine="600" w:firstLineChars="200"/>
        <w:rPr>
          <w:rFonts w:eastAsia="仿宋_GB2312"/>
          <w:color w:val="auto"/>
          <w:sz w:val="30"/>
          <w:szCs w:val="30"/>
        </w:rPr>
      </w:pPr>
      <w:r>
        <w:rPr>
          <w:rFonts w:hint="eastAsia" w:eastAsia="仿宋_GB2312"/>
          <w:color w:val="auto"/>
          <w:sz w:val="30"/>
          <w:szCs w:val="30"/>
        </w:rPr>
        <w:t>1. 实际操作竞赛</w:t>
      </w:r>
    </w:p>
    <w:p>
      <w:pPr>
        <w:pStyle w:val="3"/>
        <w:ind w:firstLine="600" w:firstLineChars="200"/>
        <w:rPr>
          <w:rFonts w:eastAsia="仿宋_GB2312"/>
          <w:color w:val="auto"/>
          <w:sz w:val="30"/>
          <w:szCs w:val="30"/>
        </w:rPr>
      </w:pPr>
      <w:r>
        <w:rPr>
          <w:rFonts w:hint="eastAsia" w:eastAsia="仿宋_GB2312"/>
          <w:color w:val="auto"/>
          <w:sz w:val="30"/>
          <w:szCs w:val="30"/>
        </w:rPr>
        <w:t>本赛项以</w:t>
      </w:r>
      <w:r>
        <w:rPr>
          <w:rFonts w:eastAsia="仿宋_GB2312"/>
          <w:color w:val="auto"/>
          <w:sz w:val="30"/>
          <w:szCs w:val="30"/>
        </w:rPr>
        <w:t>工业</w:t>
      </w:r>
      <w:r>
        <w:rPr>
          <w:rFonts w:hint="eastAsia" w:eastAsia="仿宋_GB2312"/>
          <w:color w:val="auto"/>
          <w:sz w:val="30"/>
          <w:szCs w:val="30"/>
        </w:rPr>
        <w:t>互联网应用</w:t>
      </w:r>
      <w:r>
        <w:rPr>
          <w:rFonts w:eastAsia="仿宋_GB2312"/>
          <w:color w:val="auto"/>
          <w:sz w:val="30"/>
          <w:szCs w:val="30"/>
        </w:rPr>
        <w:t>系统</w:t>
      </w:r>
      <w:r>
        <w:rPr>
          <w:rFonts w:hint="eastAsia" w:eastAsia="仿宋_GB2312"/>
          <w:color w:val="auto"/>
          <w:sz w:val="30"/>
          <w:szCs w:val="30"/>
        </w:rPr>
        <w:t>作为</w:t>
      </w:r>
      <w:r>
        <w:rPr>
          <w:rFonts w:eastAsia="仿宋_GB2312"/>
          <w:color w:val="auto"/>
          <w:sz w:val="30"/>
          <w:szCs w:val="30"/>
        </w:rPr>
        <w:t>竞赛平台，</w:t>
      </w:r>
      <w:r>
        <w:rPr>
          <w:rFonts w:hint="eastAsia" w:eastAsia="仿宋_GB2312"/>
          <w:color w:val="auto"/>
          <w:sz w:val="30"/>
          <w:szCs w:val="30"/>
        </w:rPr>
        <w:t>2名参赛选手协作</w:t>
      </w:r>
      <w:r>
        <w:rPr>
          <w:rFonts w:eastAsia="仿宋_GB2312"/>
          <w:color w:val="auto"/>
          <w:sz w:val="30"/>
          <w:szCs w:val="30"/>
        </w:rPr>
        <w:t>完成</w:t>
      </w:r>
      <w:r>
        <w:rPr>
          <w:rFonts w:hint="eastAsia" w:eastAsia="仿宋_GB2312"/>
          <w:color w:val="auto"/>
          <w:sz w:val="30"/>
          <w:szCs w:val="30"/>
          <w:lang w:eastAsia="zh-CN"/>
        </w:rPr>
        <w:t>。</w:t>
      </w:r>
      <w:r>
        <w:rPr>
          <w:rFonts w:hint="eastAsia" w:eastAsia="仿宋_GB2312"/>
          <w:color w:val="auto"/>
          <w:sz w:val="30"/>
          <w:szCs w:val="30"/>
        </w:rPr>
        <w:t>针对已搭建好的工业应用场景及部分编写完毕的PLC程序模块和工业APP，通过对工业互联网平台系统的参数配置或编程操作，完成工业互联网系统的现场边缘层设备与Saas端APP的连接集成，最终实现系统的完整功能。</w:t>
      </w:r>
    </w:p>
    <w:p>
      <w:pPr>
        <w:spacing w:line="560" w:lineRule="exact"/>
        <w:ind w:firstLine="600" w:firstLineChars="200"/>
        <w:rPr>
          <w:rFonts w:eastAsia="仿宋_GB2312"/>
          <w:color w:val="auto"/>
          <w:sz w:val="30"/>
          <w:szCs w:val="30"/>
        </w:rPr>
      </w:pPr>
      <w:r>
        <w:rPr>
          <w:rFonts w:hint="eastAsia" w:ascii="仿宋_GB2312" w:hAnsi="仿宋" w:eastAsia="仿宋_GB2312"/>
          <w:color w:val="auto"/>
          <w:sz w:val="30"/>
          <w:szCs w:val="30"/>
        </w:rPr>
        <w:t>参赛选手在规定时间（连续不断的3小时）内，以现场操作的方式，根据赛场提供的有关资料和赛项任务书，完成赛项任务。</w:t>
      </w:r>
    </w:p>
    <w:p>
      <w:pPr>
        <w:spacing w:line="360" w:lineRule="auto"/>
        <w:ind w:firstLine="600" w:firstLineChars="200"/>
        <w:rPr>
          <w:rFonts w:eastAsia="仿宋_GB2312"/>
          <w:color w:val="auto"/>
          <w:sz w:val="30"/>
          <w:szCs w:val="30"/>
        </w:rPr>
      </w:pPr>
      <w:r>
        <w:rPr>
          <w:rFonts w:hint="eastAsia" w:eastAsia="仿宋_GB2312"/>
          <w:color w:val="auto"/>
          <w:sz w:val="30"/>
          <w:szCs w:val="30"/>
        </w:rPr>
        <w:t>2. 实操部分评分细则</w:t>
      </w:r>
    </w:p>
    <w:p>
      <w:pPr>
        <w:ind w:firstLine="150" w:firstLineChars="50"/>
        <w:rPr>
          <w:rFonts w:eastAsia="仿宋_GB2312"/>
          <w:sz w:val="30"/>
          <w:szCs w:val="30"/>
        </w:rPr>
      </w:pPr>
      <w:r>
        <w:rPr>
          <w:rFonts w:hint="eastAsia" w:eastAsia="仿宋_GB2312"/>
          <w:color w:val="auto"/>
          <w:sz w:val="30"/>
          <w:szCs w:val="30"/>
        </w:rPr>
        <w:t>本赛项操作技能成绩满分为100分。其中三轴机械臂</w:t>
      </w:r>
      <w:r>
        <w:rPr>
          <w:rFonts w:eastAsia="仿宋_GB2312"/>
          <w:color w:val="auto"/>
          <w:sz w:val="30"/>
          <w:szCs w:val="30"/>
        </w:rPr>
        <w:t>调试</w:t>
      </w:r>
      <w:r>
        <w:rPr>
          <w:rFonts w:hint="eastAsia" w:eastAsia="仿宋_GB2312"/>
          <w:color w:val="auto"/>
          <w:sz w:val="30"/>
          <w:szCs w:val="30"/>
        </w:rPr>
        <w:t>22分、“固定样式产品下单”APP</w:t>
      </w:r>
      <w:r>
        <w:rPr>
          <w:rFonts w:hint="eastAsia" w:eastAsia="仿宋_GB2312"/>
          <w:sz w:val="30"/>
          <w:szCs w:val="30"/>
        </w:rPr>
        <w:t>的配置与调试33分、“定制样式产品下单”APP开发与调试35分、职业素养与安全意识1</w:t>
      </w:r>
      <w:bookmarkStart w:id="0" w:name="_GoBack"/>
      <w:bookmarkEnd w:id="0"/>
      <w:r>
        <w:rPr>
          <w:rFonts w:hint="eastAsia" w:eastAsia="仿宋_GB2312"/>
          <w:sz w:val="30"/>
          <w:szCs w:val="30"/>
        </w:rPr>
        <w:t>0分。</w:t>
      </w:r>
    </w:p>
    <w:p>
      <w:pPr>
        <w:spacing w:line="360" w:lineRule="auto"/>
        <w:ind w:firstLine="600" w:firstLineChars="200"/>
        <w:rPr>
          <w:rFonts w:eastAsia="仿宋_GB2312"/>
          <w:sz w:val="30"/>
          <w:szCs w:val="30"/>
        </w:rPr>
      </w:pPr>
      <w:r>
        <w:rPr>
          <w:rFonts w:eastAsia="仿宋_GB2312"/>
          <w:sz w:val="30"/>
          <w:szCs w:val="30"/>
        </w:rPr>
        <w:t>职业素养考核以下方面：</w:t>
      </w:r>
    </w:p>
    <w:p>
      <w:pPr>
        <w:spacing w:line="360" w:lineRule="auto"/>
        <w:ind w:firstLine="600" w:firstLineChars="200"/>
        <w:rPr>
          <w:rFonts w:eastAsia="仿宋_GB2312"/>
          <w:sz w:val="30"/>
          <w:szCs w:val="30"/>
        </w:rPr>
      </w:pPr>
      <w:r>
        <w:rPr>
          <w:rFonts w:hint="eastAsia" w:eastAsia="仿宋_GB2312"/>
          <w:sz w:val="30"/>
          <w:szCs w:val="30"/>
        </w:rPr>
        <w:t>1).敬业爱岗，忠于职守，严于律已，刻苦钻研；</w:t>
      </w:r>
    </w:p>
    <w:p>
      <w:pPr>
        <w:spacing w:line="360" w:lineRule="auto"/>
        <w:ind w:firstLine="600" w:firstLineChars="200"/>
        <w:rPr>
          <w:rFonts w:eastAsia="仿宋_GB2312"/>
          <w:sz w:val="30"/>
          <w:szCs w:val="30"/>
        </w:rPr>
      </w:pPr>
      <w:r>
        <w:rPr>
          <w:rFonts w:hint="eastAsia" w:eastAsia="仿宋_GB2312"/>
          <w:sz w:val="30"/>
          <w:szCs w:val="30"/>
        </w:rPr>
        <w:t>2).勤于学习，善于思考，勇于探索，敏于创新；</w:t>
      </w:r>
    </w:p>
    <w:p>
      <w:pPr>
        <w:spacing w:line="360" w:lineRule="auto"/>
        <w:ind w:firstLine="600" w:firstLineChars="200"/>
        <w:rPr>
          <w:rFonts w:eastAsia="仿宋_GB2312"/>
          <w:sz w:val="30"/>
          <w:szCs w:val="30"/>
        </w:rPr>
      </w:pPr>
      <w:r>
        <w:rPr>
          <w:rFonts w:hint="eastAsia" w:eastAsia="仿宋_GB2312"/>
          <w:sz w:val="30"/>
          <w:szCs w:val="30"/>
        </w:rPr>
        <w:t>3).认真负责，吃苦耐劳，团结协作，精益求精；</w:t>
      </w:r>
    </w:p>
    <w:p>
      <w:pPr>
        <w:spacing w:line="360" w:lineRule="auto"/>
        <w:ind w:firstLine="600" w:firstLineChars="200"/>
        <w:rPr>
          <w:rFonts w:eastAsia="仿宋_GB2312"/>
          <w:sz w:val="30"/>
          <w:szCs w:val="30"/>
        </w:rPr>
      </w:pPr>
      <w:r>
        <w:rPr>
          <w:rFonts w:hint="eastAsia" w:eastAsia="仿宋_GB2312"/>
          <w:sz w:val="30"/>
          <w:szCs w:val="30"/>
        </w:rPr>
        <w:t>4) .遵守操作规程，安全、文明生产；</w:t>
      </w:r>
    </w:p>
    <w:p>
      <w:pPr>
        <w:spacing w:line="360" w:lineRule="auto"/>
        <w:ind w:firstLine="600" w:firstLineChars="200"/>
        <w:rPr>
          <w:rFonts w:eastAsia="仿宋_GB2312"/>
          <w:sz w:val="30"/>
          <w:szCs w:val="30"/>
        </w:rPr>
      </w:pPr>
      <w:r>
        <w:rPr>
          <w:rFonts w:hint="eastAsia" w:eastAsia="仿宋_GB2312"/>
          <w:sz w:val="30"/>
          <w:szCs w:val="30"/>
        </w:rPr>
        <w:t>5).着装规范整洁，爱护设备，保持工作环境清洁有序。</w:t>
      </w:r>
    </w:p>
    <w:p>
      <w:pPr>
        <w:snapToGrid w:val="0"/>
        <w:spacing w:line="540" w:lineRule="exact"/>
        <w:ind w:firstLine="600" w:firstLineChars="200"/>
        <w:rPr>
          <w:rFonts w:ascii="Arial Narrow" w:hAnsi="Arial Narrow" w:eastAsia="仿宋_GB2312" w:cs="Arial"/>
          <w:color w:val="000000"/>
          <w:sz w:val="30"/>
          <w:szCs w:val="30"/>
        </w:rPr>
      </w:pPr>
    </w:p>
    <w:p>
      <w:pPr>
        <w:pStyle w:val="3"/>
        <w:spacing w:line="540" w:lineRule="exact"/>
        <w:ind w:firstLine="585"/>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五、竞赛规则</w:t>
      </w:r>
    </w:p>
    <w:p>
      <w:pPr>
        <w:pStyle w:val="19"/>
        <w:spacing w:after="0" w:line="600" w:lineRule="exact"/>
        <w:ind w:firstLine="480"/>
        <w:rPr>
          <w:rFonts w:ascii="Times New Roman" w:hAnsi="Times New Roman" w:eastAsia="仿宋_GB2312" w:cs="Times New Roman"/>
          <w:color w:val="auto"/>
          <w:kern w:val="2"/>
          <w:sz w:val="30"/>
          <w:szCs w:val="30"/>
        </w:rPr>
      </w:pPr>
      <w:r>
        <w:rPr>
          <w:rFonts w:hint="eastAsia" w:ascii="仿宋_GB2312" w:hAnsi="仿宋_GB2312" w:eastAsia="仿宋_GB2312"/>
          <w:sz w:val="30"/>
          <w:szCs w:val="30"/>
        </w:rPr>
        <w:t>（一）</w:t>
      </w:r>
      <w:r>
        <w:rPr>
          <w:rFonts w:hint="eastAsia" w:ascii="Times New Roman" w:hAnsi="Times New Roman" w:eastAsia="仿宋_GB2312" w:cs="Times New Roman"/>
          <w:color w:val="auto"/>
          <w:kern w:val="2"/>
          <w:sz w:val="30"/>
          <w:szCs w:val="30"/>
        </w:rPr>
        <w:t>参数选手资格</w:t>
      </w:r>
    </w:p>
    <w:p>
      <w:pPr>
        <w:pStyle w:val="19"/>
        <w:spacing w:after="0" w:line="600" w:lineRule="exact"/>
        <w:ind w:firstLine="480"/>
        <w:rPr>
          <w:rFonts w:ascii="Times New Roman" w:hAnsi="Times New Roman" w:eastAsia="仿宋_GB2312" w:cs="Times New Roman"/>
          <w:color w:val="auto"/>
          <w:kern w:val="2"/>
          <w:sz w:val="30"/>
          <w:szCs w:val="30"/>
        </w:rPr>
      </w:pPr>
      <w:r>
        <w:rPr>
          <w:rFonts w:hint="eastAsia" w:ascii="Times New Roman" w:hAnsi="Times New Roman" w:eastAsia="仿宋_GB2312" w:cs="Times New Roman"/>
          <w:color w:val="auto"/>
          <w:kern w:val="2"/>
          <w:sz w:val="30"/>
          <w:szCs w:val="30"/>
        </w:rPr>
        <w:t>年龄在16至25周岁（含）之间（1995年7月1日后至2004年6月30日前出生）的全日制在籍学生。</w:t>
      </w:r>
    </w:p>
    <w:p>
      <w:pPr>
        <w:pStyle w:val="19"/>
        <w:spacing w:after="0" w:line="600" w:lineRule="exact"/>
        <w:ind w:firstLine="480"/>
        <w:rPr>
          <w:rFonts w:ascii="Times New Roman" w:hAnsi="Times New Roman" w:eastAsia="仿宋_GB2312" w:cs="Times New Roman"/>
          <w:color w:val="auto"/>
          <w:kern w:val="2"/>
          <w:sz w:val="30"/>
          <w:szCs w:val="30"/>
        </w:rPr>
      </w:pPr>
      <w:r>
        <w:rPr>
          <w:rFonts w:hint="eastAsia" w:ascii="Times New Roman" w:hAnsi="Times New Roman" w:eastAsia="仿宋_GB2312" w:cs="Times New Roman"/>
          <w:color w:val="auto"/>
          <w:kern w:val="2"/>
          <w:sz w:val="30"/>
          <w:szCs w:val="30"/>
        </w:rPr>
        <w:t>竞赛方式采用团体赛形式，不得跨校组队，同一个学校相同项目报名参赛队不超过2支，每支参赛队伍参赛人数2人。</w:t>
      </w:r>
    </w:p>
    <w:p>
      <w:pPr>
        <w:snapToGrid w:val="0"/>
        <w:spacing w:line="560" w:lineRule="exact"/>
        <w:ind w:firstLine="600" w:firstLineChars="200"/>
        <w:rPr>
          <w:rFonts w:ascii="仿宋_GB2312" w:hAnsi="仿宋_GB2312" w:eastAsia="仿宋_GB2312"/>
          <w:sz w:val="30"/>
          <w:szCs w:val="30"/>
        </w:rPr>
      </w:pPr>
      <w:r>
        <w:rPr>
          <w:rFonts w:hint="eastAsia" w:ascii="仿宋_GB2312" w:hAnsi="仿宋_GB2312" w:eastAsia="仿宋_GB2312"/>
          <w:sz w:val="30"/>
          <w:szCs w:val="30"/>
        </w:rPr>
        <w:t>（二）熟悉场地</w:t>
      </w:r>
    </w:p>
    <w:p>
      <w:pPr>
        <w:snapToGrid w:val="0"/>
        <w:spacing w:line="560" w:lineRule="exact"/>
        <w:ind w:firstLine="600" w:firstLineChars="200"/>
        <w:rPr>
          <w:rFonts w:ascii="仿宋_GB2312" w:hAnsi="仿宋_GB2312" w:eastAsia="仿宋_GB2312"/>
          <w:sz w:val="30"/>
          <w:szCs w:val="30"/>
        </w:rPr>
      </w:pPr>
      <w:r>
        <w:rPr>
          <w:rFonts w:ascii="仿宋_GB2312" w:hAnsi="仿宋_GB2312" w:eastAsia="仿宋_GB2312"/>
          <w:sz w:val="30"/>
          <w:szCs w:val="30"/>
        </w:rPr>
        <w:t>1</w:t>
      </w:r>
      <w:r>
        <w:rPr>
          <w:rFonts w:hint="eastAsia" w:ascii="仿宋_GB2312" w:hAnsi="仿宋_GB2312" w:eastAsia="仿宋_GB2312"/>
          <w:sz w:val="30"/>
          <w:szCs w:val="30"/>
        </w:rPr>
        <w:t>．参赛队按赛项规定时间统一有序地熟悉场地，熟悉场地时限定在观摩区域活动，不允许进入比赛区域。</w:t>
      </w:r>
    </w:p>
    <w:p>
      <w:pPr>
        <w:snapToGrid w:val="0"/>
        <w:spacing w:line="560" w:lineRule="exact"/>
        <w:ind w:firstLine="600" w:firstLineChars="200"/>
        <w:rPr>
          <w:rFonts w:ascii="仿宋_GB2312" w:hAnsi="仿宋_GB2312" w:eastAsia="仿宋_GB2312"/>
          <w:sz w:val="30"/>
          <w:szCs w:val="30"/>
        </w:rPr>
      </w:pPr>
      <w:r>
        <w:rPr>
          <w:rFonts w:ascii="仿宋_GB2312" w:hAnsi="仿宋_GB2312" w:eastAsia="仿宋_GB2312"/>
          <w:sz w:val="30"/>
          <w:szCs w:val="30"/>
        </w:rPr>
        <w:t>2</w:t>
      </w:r>
      <w:r>
        <w:rPr>
          <w:rFonts w:hint="eastAsia" w:ascii="仿宋_GB2312" w:hAnsi="仿宋_GB2312" w:eastAsia="仿宋_GB2312"/>
          <w:sz w:val="30"/>
          <w:szCs w:val="30"/>
        </w:rPr>
        <w:t>．熟悉场地时不允许发表没有根据以及有损大赛整体形象的言论。</w:t>
      </w:r>
    </w:p>
    <w:p>
      <w:pPr>
        <w:snapToGrid w:val="0"/>
        <w:spacing w:line="560" w:lineRule="exact"/>
        <w:ind w:firstLine="600" w:firstLineChars="200"/>
        <w:rPr>
          <w:rFonts w:ascii="仿宋_GB2312" w:hAnsi="仿宋_GB2312" w:eastAsia="仿宋_GB2312"/>
          <w:sz w:val="30"/>
          <w:szCs w:val="30"/>
        </w:rPr>
      </w:pPr>
      <w:r>
        <w:rPr>
          <w:rFonts w:ascii="仿宋_GB2312" w:hAnsi="仿宋_GB2312" w:eastAsia="仿宋_GB2312"/>
          <w:sz w:val="30"/>
          <w:szCs w:val="30"/>
        </w:rPr>
        <w:t>3</w:t>
      </w:r>
      <w:r>
        <w:rPr>
          <w:rFonts w:hint="eastAsia" w:ascii="仿宋_GB2312" w:hAnsi="仿宋_GB2312" w:eastAsia="仿宋_GB2312"/>
          <w:sz w:val="30"/>
          <w:szCs w:val="30"/>
        </w:rPr>
        <w:t>．熟悉场地时要严格遵守大赛各种制度，严禁拥挤，喧哗，以免发生意外事故。</w:t>
      </w:r>
    </w:p>
    <w:p>
      <w:pPr>
        <w:snapToGrid w:val="0"/>
        <w:spacing w:line="560" w:lineRule="exact"/>
        <w:ind w:firstLine="600" w:firstLineChars="200"/>
        <w:rPr>
          <w:rFonts w:ascii="仿宋_GB2312" w:hAnsi="仿宋_GB2312" w:eastAsia="仿宋_GB2312"/>
          <w:sz w:val="30"/>
          <w:szCs w:val="30"/>
        </w:rPr>
      </w:pPr>
      <w:r>
        <w:rPr>
          <w:rFonts w:hint="eastAsia" w:ascii="仿宋_GB2312" w:hAnsi="仿宋_GB2312" w:eastAsia="仿宋_GB2312" w:cs="仿宋_GB2312"/>
          <w:sz w:val="30"/>
          <w:szCs w:val="30"/>
        </w:rPr>
        <w:t>（三）文明参赛要求</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1.竞赛全部过程中由大赛执委会提供纸、</w:t>
      </w:r>
      <w:r>
        <w:rPr>
          <w:rFonts w:ascii="仿宋_GB2312" w:hAnsi="仿宋_GB2312" w:eastAsia="仿宋_GB2312" w:cs="仿宋_GB2312"/>
          <w:kern w:val="0"/>
          <w:sz w:val="30"/>
          <w:szCs w:val="30"/>
        </w:rPr>
        <w:t>笔</w:t>
      </w:r>
      <w:r>
        <w:rPr>
          <w:rFonts w:hint="eastAsia" w:ascii="仿宋_GB2312" w:hAnsi="仿宋_GB2312" w:eastAsia="仿宋_GB2312" w:cs="仿宋_GB2312"/>
          <w:kern w:val="0"/>
          <w:sz w:val="30"/>
          <w:szCs w:val="30"/>
        </w:rPr>
        <w:t>、电脑，</w:t>
      </w:r>
      <w:r>
        <w:rPr>
          <w:rFonts w:ascii="仿宋_GB2312" w:hAnsi="仿宋_GB2312" w:eastAsia="仿宋_GB2312" w:cs="仿宋_GB2312"/>
          <w:kern w:val="0"/>
          <w:sz w:val="30"/>
          <w:szCs w:val="30"/>
        </w:rPr>
        <w:t>设备</w:t>
      </w:r>
      <w:r>
        <w:rPr>
          <w:rFonts w:hint="eastAsia" w:ascii="仿宋_GB2312" w:hAnsi="仿宋_GB2312" w:eastAsia="仿宋_GB2312" w:cs="仿宋_GB2312"/>
          <w:kern w:val="0"/>
          <w:sz w:val="30"/>
          <w:szCs w:val="30"/>
        </w:rPr>
        <w:t>、工具、</w:t>
      </w:r>
      <w:r>
        <w:rPr>
          <w:rFonts w:ascii="仿宋_GB2312" w:hAnsi="仿宋_GB2312" w:eastAsia="仿宋_GB2312" w:cs="仿宋_GB2312"/>
          <w:kern w:val="0"/>
          <w:sz w:val="30"/>
          <w:szCs w:val="30"/>
        </w:rPr>
        <w:t>耗材</w:t>
      </w:r>
      <w:r>
        <w:rPr>
          <w:rFonts w:hint="eastAsia" w:ascii="仿宋_GB2312" w:hAnsi="仿宋_GB2312" w:eastAsia="仿宋_GB2312" w:cs="仿宋_GB2312"/>
          <w:kern w:val="0"/>
          <w:sz w:val="30"/>
          <w:szCs w:val="30"/>
        </w:rPr>
        <w:t>包，各参赛队不得携带任何物品进入赛场。</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2.参赛选手在比赛开始前</w:t>
      </w:r>
      <w:r>
        <w:rPr>
          <w:rFonts w:ascii="仿宋_GB2312" w:hAnsi="仿宋_GB2312" w:eastAsia="仿宋_GB2312" w:cs="仿宋_GB2312"/>
          <w:kern w:val="0"/>
          <w:sz w:val="30"/>
          <w:szCs w:val="30"/>
        </w:rPr>
        <w:t>3</w:t>
      </w:r>
      <w:r>
        <w:rPr>
          <w:rFonts w:hint="eastAsia" w:ascii="仿宋_GB2312" w:hAnsi="仿宋_GB2312" w:eastAsia="仿宋_GB2312" w:cs="仿宋_GB2312"/>
          <w:kern w:val="0"/>
          <w:sz w:val="30"/>
          <w:szCs w:val="30"/>
        </w:rPr>
        <w:t>0分钟前到达指定地点报到，接受工作人员对选手身份、资格和有关证件的检查；竞赛计时开始后，选手未到，视为自动放弃。</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3.比赛用仪器设备、赛位由抽签确定，不得擅自变更、调整。</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4.选手在竞赛过程中不得擅自离开赛场，如有特殊情况，须经裁判人员同意；选手休息、饮水、上洗手间等，不安排专门用时，统一计在竞赛时间内，竞赛计时工具，以赛场设置的时钟为准。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5.竞赛期间，选手不得将手机等通信工具带入赛场，非同组选手之间不得以任何方式传递信息，如传递纸条，用手势表达信息，用暗语交换信息等。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6.所有人员在赛场内不得喧哗，不得有影响其他选手完成竞赛任务的行为。</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7.爱护赛场提供的器材，不得移动赛场内台桌、设备和其它物品的定置，不得故意损坏设备和仪器；比赛过程中，参赛选手须严格遵守相关操作规程，确保设备及人身安全，并接受裁判员的监督和警示。</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8.完成竞赛任务期间，不得与其他选手讨论，不得旁窥其他选手的操作。</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9.遇事应先举手示意，并与裁判人员协商，按裁判人员的意见办理。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10.参赛选手须在赛位的计算机上规定的文件夹内存储比赛文档。</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11.比赛过程中，选手须严格遵守安全操作规程，并接受裁判员的监督和警示，以确保人身及设备安全。选手因个人误操作造成人身安全事故和设备故障时，裁判长有权中止该队比赛；如非选手个人原因出现设备故障而无法比赛，由裁判长视具体情况做出裁决(调换到备份赛位参加比赛)；如裁判长确定设备故障可由技术支持人员排除故障后继续比赛，将给参赛队补足所耽误的比赛时间。</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12.参赛队若要提前结束竞赛，应举手向裁判员示意，比赛结束时间由裁判员记录，参赛队结束比赛后不得再进行任何操作。</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13.选手须按照程序提交比赛结果及赛卷，配合裁判做好赛场情况记录，与裁判一起签字确认，裁判要求签名时不得拒绝。</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14.完成竞赛任务及交接事宜或竞赛时间结束，应到指定地点，待工作人员宣布竞赛结束，方可离开。</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15.不乱摆放工具，不乱丢杂物，完成竞赛任务后清洁赛位，清点工具；线头、废弃物品及工具，不得遗留在赛位上。</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16.使用文明用语，尊重裁判和其他选手，不得辱骂裁判和赛场工作人员，不得打架斗殴。</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17.任何人不得以任何方式暗示、指导、帮助参赛选手，对造成后果的，视情节轻重酌情扣除参赛选手成绩。</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18.比赛过程中，除参加当场次比赛的选手、执行裁判员、现场工作人员和经批准的人员外，其他人员一律不得进入比赛现场；比赛结束后，参赛选手应根据指令及时退出比赛现场；对不听劝阻、无理取闹者追究责任，并通报批评。</w:t>
      </w:r>
    </w:p>
    <w:p>
      <w:pPr>
        <w:spacing w:line="360" w:lineRule="auto"/>
        <w:ind w:firstLine="600" w:firstLineChars="200"/>
        <w:rPr>
          <w:rFonts w:eastAsia="黑体"/>
          <w:sz w:val="30"/>
          <w:szCs w:val="30"/>
        </w:rPr>
      </w:pPr>
      <w:r>
        <w:rPr>
          <w:rFonts w:hint="eastAsia" w:ascii="仿宋_GB2312" w:hAnsi="仿宋_GB2312" w:eastAsia="仿宋_GB2312" w:cs="仿宋_GB2312"/>
          <w:kern w:val="0"/>
          <w:sz w:val="30"/>
          <w:szCs w:val="30"/>
        </w:rPr>
        <w:t>19.裁判长在比赛结束前有2次时间提醒，裁判长发布比赛结束指令后所有未完成任务参赛队立即停止操作，按要求清理赛位，不得以任何理由拖延竞赛时间。</w:t>
      </w:r>
    </w:p>
    <w:p>
      <w:pPr>
        <w:pStyle w:val="3"/>
        <w:spacing w:line="540" w:lineRule="exact"/>
        <w:ind w:firstLine="585"/>
        <w:rPr>
          <w:rFonts w:ascii="Arial Narrow" w:hAnsi="Arial Narrow" w:eastAsia="仿宋_GB2312" w:cs="Arial"/>
          <w:color w:val="000000"/>
          <w:sz w:val="30"/>
          <w:szCs w:val="30"/>
        </w:rPr>
      </w:pP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六、技术规范</w:t>
      </w:r>
    </w:p>
    <w:p>
      <w:pPr>
        <w:pStyle w:val="19"/>
        <w:spacing w:after="0" w:line="56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（一）安全操作规程</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1.工作前要认真穿戴好</w:t>
      </w:r>
      <w:r>
        <w:rPr>
          <w:rFonts w:hint="eastAsia" w:ascii="仿宋_GB2312" w:hAnsi="Verdana,ˎ̥" w:eastAsia="仿宋_GB2312"/>
          <w:sz w:val="30"/>
          <w:szCs w:val="30"/>
          <w:lang w:val="en"/>
        </w:rPr>
        <w:t>不妨碍施工行动的服装</w:t>
      </w:r>
      <w:r>
        <w:rPr>
          <w:rFonts w:ascii="仿宋_GB2312" w:hAnsi="Verdana,ˎ̥" w:eastAsia="仿宋_GB2312"/>
          <w:sz w:val="30"/>
          <w:szCs w:val="30"/>
          <w:lang w:val="en"/>
        </w:rPr>
        <w:t>上岗。</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2</w:t>
      </w:r>
      <w:r>
        <w:rPr>
          <w:rFonts w:hint="eastAsia" w:ascii="仿宋_GB2312" w:hAnsi="Verdana,ˎ̥" w:eastAsia="仿宋_GB2312"/>
          <w:sz w:val="30"/>
          <w:szCs w:val="30"/>
          <w:lang w:val="en"/>
        </w:rPr>
        <w:t xml:space="preserve">.计算机程序设计员国家职业标准（职业编码X2-02-13-06） </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3</w:t>
      </w:r>
      <w:r>
        <w:rPr>
          <w:rFonts w:hint="eastAsia" w:ascii="仿宋_GB2312" w:hAnsi="Verdana,ˎ̥" w:eastAsia="仿宋_GB2312"/>
          <w:sz w:val="30"/>
          <w:szCs w:val="30"/>
          <w:lang w:val="en"/>
        </w:rPr>
        <w:t>.计算机网络管理员（职业编码X2-02-13-05）</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4</w:t>
      </w:r>
      <w:r>
        <w:rPr>
          <w:rFonts w:hint="eastAsia" w:ascii="仿宋_GB2312" w:hAnsi="Verdana,ˎ̥" w:eastAsia="仿宋_GB2312"/>
          <w:sz w:val="30"/>
          <w:szCs w:val="30"/>
          <w:lang w:val="en"/>
        </w:rPr>
        <w:t>.计算机软件产品检验员（职业编码X6-26-01-42）</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5.搞好文明生产，经常保持工作场地整洁。</w:t>
      </w:r>
    </w:p>
    <w:p>
      <w:pPr>
        <w:pStyle w:val="19"/>
        <w:spacing w:after="0" w:line="56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（二）赛场规范</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1.赛场所有人员（赛场管理与组织人员、裁判员、参赛选手以及观摩人员）不得在竞赛现场内外吸烟，不听劝阻者给予通报批评或清退比赛现场，造成严重后果的将依法处理。</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2.未经允许不得使用和移动竞赛场内的任何设施设备（包括消防器材等），工具使用后放回原处。</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3.选手在竞赛中必须遵守赛场的各项规章制度和操作规程，安全、合理的使用各种设施设备和工具，出现严重违章操作设备的，裁判视情节轻重进行批评和终止比赛。</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4.选手参加实际操作竞赛前，应认真学习竞赛项目安全操作规程。竞赛中如发现问题应及时解决，无法解决的问题应及时向裁判长报告，裁判长视情况予以判定，并协调处理。</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5.参赛选手不得触动非竞赛用仪器设备，对竞赛仪器设备造成损坏，由当事人承担赔偿责任（视情节而定），并通报批评；参赛选手若出现恶意破坏仪器设备等情节严重者将依法处理。</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6.各类人员须严格遵守赛场规则，严禁携带比赛严令禁止的物品入内。</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7.严禁携带易燃易爆等危险品入内。</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8.赛场必须留有安全通道。必须配备灭火设备。赛场应具备良好的通风、照明和操作空间的条件。做好竞赛安全、健康和公共卫生及突发事件预防与应急处理等工作。</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9.安保人员发现不安全隐患及时通报赛场负责人员。</w:t>
      </w:r>
    </w:p>
    <w:p>
      <w:pPr>
        <w:pStyle w:val="19"/>
        <w:spacing w:after="0" w:line="560" w:lineRule="exact"/>
        <w:ind w:firstLine="480"/>
        <w:rPr>
          <w:rFonts w:hint="eastAsia" w:ascii="仿宋_GB2312" w:hAnsi="Verdana,ˎ̥" w:eastAsia="仿宋_GB2312"/>
          <w:sz w:val="30"/>
          <w:szCs w:val="30"/>
          <w:lang w:val="en"/>
        </w:rPr>
      </w:pPr>
      <w:r>
        <w:rPr>
          <w:rFonts w:ascii="仿宋_GB2312" w:hAnsi="Verdana,ˎ̥" w:eastAsia="仿宋_GB2312"/>
          <w:sz w:val="30"/>
          <w:szCs w:val="30"/>
          <w:lang w:val="en"/>
        </w:rPr>
        <w:t>10.如遇突发严重事件，在安保人员指挥下，迅速按紧急疏散路线撤离现场。</w:t>
      </w:r>
    </w:p>
    <w:p>
      <w:pPr>
        <w:spacing w:line="560" w:lineRule="exact"/>
        <w:ind w:firstLine="450" w:firstLineChars="150"/>
        <w:rPr>
          <w:rFonts w:hint="eastAsia" w:ascii="仿宋_GB2312" w:hAnsi="Verdana,ˎ̥" w:eastAsia="仿宋_GB2312"/>
          <w:sz w:val="30"/>
          <w:szCs w:val="30"/>
          <w:lang w:val="en"/>
        </w:rPr>
      </w:pPr>
      <w:r>
        <w:rPr>
          <w:rFonts w:ascii="仿宋_GB2312" w:hAnsi="Verdana,ˎ̥" w:eastAsia="仿宋_GB2312"/>
          <w:sz w:val="30"/>
          <w:szCs w:val="30"/>
          <w:lang w:val="en"/>
        </w:rPr>
        <w:t>11.赛场必须配备医护人员和必须的药品。</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七、技术平台</w:t>
      </w:r>
    </w:p>
    <w:p>
      <w:pPr>
        <w:ind w:firstLine="420"/>
        <w:rPr>
          <w:rFonts w:ascii="仿宋" w:hAnsi="仿宋" w:eastAsia="仿宋" w:cs="仿宋"/>
          <w:sz w:val="30"/>
          <w:szCs w:val="30"/>
        </w:rPr>
      </w:pPr>
      <w:r>
        <w:rPr>
          <w:rFonts w:hint="eastAsia" w:ascii="仿宋" w:hAnsi="仿宋" w:eastAsia="仿宋" w:cs="仿宋"/>
          <w:sz w:val="30"/>
          <w:szCs w:val="30"/>
        </w:rPr>
        <w:t>竞赛平台采</w:t>
      </w:r>
      <w:r>
        <w:rPr>
          <w:rFonts w:hint="eastAsia" w:ascii="仿宋" w:hAnsi="仿宋" w:eastAsia="仿宋" w:cs="仿宋"/>
          <w:color w:val="auto"/>
          <w:sz w:val="30"/>
          <w:szCs w:val="30"/>
        </w:rPr>
        <w:t>用EL03工业互联网应用平台，</w:t>
      </w:r>
      <w:r>
        <w:rPr>
          <w:rFonts w:hint="eastAsia" w:ascii="仿宋" w:hAnsi="仿宋" w:eastAsia="仿宋" w:cs="仿宋"/>
          <w:sz w:val="30"/>
          <w:szCs w:val="30"/>
        </w:rPr>
        <w:t>工具、耗材统一提供。竞赛平台配备宜科EL03型工业互联网平台应用考核实训台，通过工业互联网平台系统的参数配置或编程，实现现场边缘层设备与Saas端APP的协同工作，从而完成竞赛，技术平台组成如图1所示：</w:t>
      </w:r>
    </w:p>
    <w:p>
      <w:r>
        <w:drawing>
          <wp:inline distT="0" distB="0" distL="0" distR="0">
            <wp:extent cx="5857875" cy="31718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857875" cy="3171825"/>
                    </a:xfrm>
                    <a:prstGeom prst="rect">
                      <a:avLst/>
                    </a:prstGeom>
                    <a:noFill/>
                    <a:ln>
                      <a:noFill/>
                    </a:ln>
                  </pic:spPr>
                </pic:pic>
              </a:graphicData>
            </a:graphic>
          </wp:inline>
        </w:drawing>
      </w:r>
    </w:p>
    <w:p>
      <w:pPr>
        <w:jc w:val="center"/>
        <w:rPr>
          <w:rFonts w:ascii="仿宋_GB2312" w:hAnsi="仿宋" w:eastAsia="仿宋_GB2312"/>
          <w:sz w:val="28"/>
          <w:szCs w:val="28"/>
        </w:rPr>
      </w:pPr>
      <w:r>
        <w:rPr>
          <w:rFonts w:hint="eastAsia" w:ascii="仿宋_GB2312" w:hAnsi="仿宋" w:eastAsia="仿宋_GB2312"/>
          <w:sz w:val="28"/>
          <w:szCs w:val="28"/>
        </w:rPr>
        <w:t>图1 竞赛技术平台组成</w:t>
      </w:r>
    </w:p>
    <w:p>
      <w:pPr>
        <w:pStyle w:val="15"/>
        <w:tabs>
          <w:tab w:val="left" w:pos="426"/>
        </w:tabs>
        <w:spacing w:before="156" w:beforeLines="50"/>
        <w:ind w:left="420" w:leftChars="200" w:firstLine="675" w:firstLineChars="225"/>
        <w:rPr>
          <w:rFonts w:ascii="仿宋" w:hAnsi="仿宋" w:eastAsia="仿宋" w:cs="仿宋"/>
          <w:sz w:val="30"/>
          <w:szCs w:val="30"/>
        </w:rPr>
      </w:pPr>
      <w:r>
        <w:rPr>
          <w:rFonts w:hint="eastAsia" w:ascii="仿宋" w:hAnsi="仿宋" w:eastAsia="仿宋" w:cs="仿宋"/>
          <w:sz w:val="30"/>
          <w:szCs w:val="30"/>
        </w:rPr>
        <w:t>比赛器材采用如图1</w:t>
      </w:r>
      <w:r>
        <w:rPr>
          <w:rFonts w:hint="eastAsia" w:ascii="仿宋" w:hAnsi="仿宋" w:eastAsia="仿宋" w:cs="仿宋"/>
          <w:color w:val="auto"/>
          <w:sz w:val="30"/>
          <w:szCs w:val="30"/>
        </w:rPr>
        <w:t>的EL03工业</w:t>
      </w:r>
      <w:r>
        <w:rPr>
          <w:rFonts w:hint="eastAsia" w:ascii="仿宋" w:hAnsi="仿宋" w:eastAsia="仿宋" w:cs="仿宋"/>
          <w:sz w:val="30"/>
          <w:szCs w:val="30"/>
        </w:rPr>
        <w:t>互联网平台应用考核实训台，本考核实训台涵盖了三轴运动机构、RFID、PLC、传感器、工业现场总线模块、直线模组、服务器、平板电脑等硬件，同时搭载了宜科工业互联网平台系统,以及针对特定应用场景开发完毕的Saas层工业APP及边缘层PLC程序系统。</w:t>
      </w:r>
    </w:p>
    <w:p>
      <w:pPr>
        <w:ind w:left="420" w:leftChars="200" w:firstLine="420"/>
        <w:rPr>
          <w:rFonts w:ascii="仿宋" w:hAnsi="仿宋" w:eastAsia="仿宋" w:cs="仿宋"/>
          <w:sz w:val="30"/>
          <w:szCs w:val="30"/>
        </w:rPr>
      </w:pPr>
      <w:r>
        <w:rPr>
          <w:rFonts w:hint="eastAsia" w:ascii="仿宋_GB2312" w:hAnsi="仿宋_GB2312" w:eastAsia="仿宋_GB2312" w:cs="仿宋_GB2312"/>
          <w:sz w:val="30"/>
          <w:szCs w:val="30"/>
        </w:rPr>
        <w:t>竞赛设备整机参数</w:t>
      </w:r>
      <w:r>
        <w:rPr>
          <w:rFonts w:hint="eastAsia" w:ascii="仿宋" w:hAnsi="仿宋" w:eastAsia="仿宋" w:cs="仿宋"/>
          <w:sz w:val="30"/>
          <w:szCs w:val="30"/>
        </w:rPr>
        <w:t>参见表</w:t>
      </w:r>
      <w:r>
        <w:rPr>
          <w:rFonts w:ascii="仿宋" w:hAnsi="仿宋" w:eastAsia="仿宋" w:cs="仿宋"/>
          <w:sz w:val="30"/>
          <w:szCs w:val="30"/>
        </w:rPr>
        <w:t>1</w:t>
      </w:r>
    </w:p>
    <w:p>
      <w:pPr>
        <w:widowControl/>
        <w:spacing w:line="5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表</w:t>
      </w:r>
      <w:r>
        <w:rPr>
          <w:rFonts w:ascii="仿宋_GB2312" w:hAnsi="仿宋_GB2312" w:eastAsia="仿宋_GB2312" w:cs="仿宋_GB2312"/>
          <w:sz w:val="28"/>
          <w:szCs w:val="28"/>
        </w:rPr>
        <w:t>1</w:t>
      </w:r>
      <w:r>
        <w:rPr>
          <w:rFonts w:hint="eastAsia" w:ascii="仿宋_GB2312" w:hAnsi="仿宋_GB2312" w:eastAsia="仿宋_GB2312" w:cs="仿宋_GB2312"/>
          <w:sz w:val="28"/>
          <w:szCs w:val="28"/>
        </w:rPr>
        <w:t>竞赛设备整机参数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496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518" w:type="dxa"/>
            <w:vAlign w:val="center"/>
          </w:tcPr>
          <w:p>
            <w:pPr>
              <w:widowControl/>
              <w:jc w:val="center"/>
              <w:rPr>
                <w:rFonts w:ascii="仿宋_GB2312" w:hAnsi="仿宋" w:eastAsia="仿宋_GB2312"/>
                <w:sz w:val="24"/>
                <w:szCs w:val="28"/>
              </w:rPr>
            </w:pPr>
            <w:r>
              <w:rPr>
                <w:rFonts w:hint="eastAsia" w:ascii="仿宋_GB2312" w:hAnsi="仿宋" w:eastAsia="仿宋_GB2312"/>
                <w:sz w:val="24"/>
                <w:szCs w:val="28"/>
              </w:rPr>
              <w:t>项   目</w:t>
            </w:r>
          </w:p>
        </w:tc>
        <w:tc>
          <w:tcPr>
            <w:tcW w:w="4961" w:type="dxa"/>
            <w:vAlign w:val="center"/>
          </w:tcPr>
          <w:p>
            <w:pPr>
              <w:widowControl/>
              <w:jc w:val="center"/>
              <w:rPr>
                <w:rFonts w:ascii="仿宋_GB2312" w:hAnsi="仿宋" w:eastAsia="仿宋_GB2312"/>
                <w:sz w:val="24"/>
                <w:szCs w:val="28"/>
              </w:rPr>
            </w:pPr>
            <w:r>
              <w:rPr>
                <w:rFonts w:hint="eastAsia" w:ascii="仿宋_GB2312" w:hAnsi="仿宋" w:eastAsia="仿宋_GB2312"/>
                <w:sz w:val="24"/>
                <w:szCs w:val="28"/>
              </w:rPr>
              <w:t>参       数</w:t>
            </w:r>
          </w:p>
        </w:tc>
        <w:tc>
          <w:tcPr>
            <w:tcW w:w="1043" w:type="dxa"/>
            <w:vAlign w:val="center"/>
          </w:tcPr>
          <w:p>
            <w:pPr>
              <w:jc w:val="center"/>
              <w:rPr>
                <w:rFonts w:ascii="仿宋_GB2312" w:hAnsi="仿宋" w:eastAsia="仿宋_GB2312"/>
                <w:sz w:val="24"/>
                <w:szCs w:val="28"/>
              </w:rPr>
            </w:pPr>
            <w:r>
              <w:rPr>
                <w:rFonts w:hint="eastAsia" w:ascii="仿宋_GB2312" w:hAnsi="仿宋" w:eastAsia="仿宋_GB2312"/>
                <w:sz w:val="24"/>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widowControl/>
              <w:jc w:val="center"/>
              <w:rPr>
                <w:rFonts w:ascii="仿宋_GB2312" w:hAnsi="仿宋" w:eastAsia="仿宋_GB2312"/>
                <w:sz w:val="24"/>
                <w:szCs w:val="28"/>
              </w:rPr>
            </w:pPr>
            <w:r>
              <w:rPr>
                <w:rFonts w:hint="eastAsia" w:ascii="仿宋_GB2312" w:hAnsi="仿宋" w:eastAsia="仿宋_GB2312"/>
                <w:sz w:val="24"/>
                <w:szCs w:val="28"/>
              </w:rPr>
              <w:t>电源规格</w:t>
            </w:r>
          </w:p>
        </w:tc>
        <w:tc>
          <w:tcPr>
            <w:tcW w:w="4961" w:type="dxa"/>
          </w:tcPr>
          <w:p>
            <w:pPr>
              <w:widowControl/>
              <w:jc w:val="left"/>
              <w:rPr>
                <w:rFonts w:ascii="仿宋_GB2312" w:hAnsi="仿宋" w:eastAsia="仿宋_GB2312"/>
                <w:sz w:val="24"/>
                <w:szCs w:val="28"/>
              </w:rPr>
            </w:pPr>
            <w:r>
              <w:rPr>
                <w:rFonts w:hint="eastAsia" w:ascii="仿宋_GB2312" w:hAnsi="仿宋" w:eastAsia="仿宋_GB2312"/>
                <w:sz w:val="24"/>
                <w:szCs w:val="28"/>
              </w:rPr>
              <w:t>AC220V / 50Hz / 1KW</w:t>
            </w:r>
          </w:p>
        </w:tc>
        <w:tc>
          <w:tcPr>
            <w:tcW w:w="1043" w:type="dxa"/>
          </w:tcPr>
          <w:p>
            <w:pPr>
              <w:jc w:val="left"/>
              <w:rPr>
                <w:rFonts w:ascii="仿宋_GB2312" w:hAnsi="仿宋"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widowControl/>
              <w:jc w:val="center"/>
              <w:rPr>
                <w:rFonts w:ascii="仿宋_GB2312" w:hAnsi="仿宋" w:eastAsia="仿宋_GB2312"/>
                <w:sz w:val="24"/>
                <w:szCs w:val="28"/>
              </w:rPr>
            </w:pPr>
            <w:r>
              <w:rPr>
                <w:rFonts w:hint="eastAsia" w:ascii="仿宋_GB2312" w:hAnsi="仿宋" w:eastAsia="仿宋_GB2312"/>
                <w:sz w:val="24"/>
                <w:szCs w:val="28"/>
              </w:rPr>
              <w:t>功率</w:t>
            </w:r>
          </w:p>
        </w:tc>
        <w:tc>
          <w:tcPr>
            <w:tcW w:w="4961" w:type="dxa"/>
          </w:tcPr>
          <w:p>
            <w:pPr>
              <w:widowControl/>
              <w:jc w:val="left"/>
              <w:rPr>
                <w:rFonts w:ascii="仿宋_GB2312" w:hAnsi="仿宋" w:eastAsia="仿宋_GB2312"/>
                <w:sz w:val="24"/>
                <w:szCs w:val="28"/>
              </w:rPr>
            </w:pPr>
            <w:r>
              <w:rPr>
                <w:rFonts w:hint="eastAsia" w:ascii="仿宋_GB2312" w:hAnsi="仿宋" w:eastAsia="仿宋_GB2312"/>
                <w:sz w:val="24"/>
                <w:szCs w:val="28"/>
              </w:rPr>
              <w:t>≤3KW</w:t>
            </w:r>
          </w:p>
        </w:tc>
        <w:tc>
          <w:tcPr>
            <w:tcW w:w="1043" w:type="dxa"/>
          </w:tcPr>
          <w:p>
            <w:pPr>
              <w:jc w:val="left"/>
              <w:rPr>
                <w:rFonts w:ascii="仿宋_GB2312" w:hAnsi="仿宋"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widowControl/>
              <w:jc w:val="center"/>
              <w:rPr>
                <w:rFonts w:ascii="仿宋_GB2312" w:hAnsi="仿宋" w:eastAsia="仿宋_GB2312"/>
                <w:sz w:val="24"/>
                <w:szCs w:val="28"/>
              </w:rPr>
            </w:pPr>
            <w:r>
              <w:rPr>
                <w:rFonts w:hint="eastAsia" w:ascii="仿宋_GB2312" w:hAnsi="仿宋" w:eastAsia="仿宋_GB2312"/>
                <w:sz w:val="24"/>
                <w:szCs w:val="28"/>
              </w:rPr>
              <w:t>整体尺寸</w:t>
            </w:r>
          </w:p>
        </w:tc>
        <w:tc>
          <w:tcPr>
            <w:tcW w:w="4961" w:type="dxa"/>
          </w:tcPr>
          <w:p>
            <w:pPr>
              <w:widowControl/>
              <w:jc w:val="center"/>
              <w:rPr>
                <w:rFonts w:ascii="仿宋_GB2312" w:hAnsi="仿宋" w:eastAsia="仿宋_GB2312"/>
                <w:sz w:val="24"/>
                <w:szCs w:val="28"/>
              </w:rPr>
            </w:pPr>
            <w:r>
              <w:rPr>
                <w:rFonts w:hint="eastAsia" w:ascii="仿宋_GB2312" w:hAnsi="仿宋" w:eastAsia="仿宋_GB2312"/>
                <w:sz w:val="24"/>
                <w:szCs w:val="28"/>
              </w:rPr>
              <w:t>1500*1130*1300mm(长宽高)</w:t>
            </w:r>
          </w:p>
        </w:tc>
        <w:tc>
          <w:tcPr>
            <w:tcW w:w="1043" w:type="dxa"/>
          </w:tcPr>
          <w:p>
            <w:pPr>
              <w:widowControl/>
              <w:jc w:val="center"/>
              <w:rPr>
                <w:rFonts w:ascii="仿宋_GB2312" w:hAnsi="仿宋" w:eastAsia="仿宋_GB2312"/>
                <w:sz w:val="24"/>
                <w:szCs w:val="28"/>
              </w:rPr>
            </w:pPr>
          </w:p>
        </w:tc>
      </w:tr>
    </w:tbl>
    <w:p>
      <w:pPr>
        <w:spacing w:line="560" w:lineRule="exact"/>
        <w:ind w:firstLine="560" w:firstLineChars="200"/>
        <w:rPr>
          <w:rFonts w:ascii="仿宋_GB2312" w:hAnsi="仿宋_GB2312" w:eastAsia="仿宋_GB2312" w:cs="仿宋_GB2312"/>
          <w:sz w:val="28"/>
          <w:szCs w:val="30"/>
        </w:rPr>
      </w:pPr>
      <w:r>
        <w:rPr>
          <w:rFonts w:hint="eastAsia" w:ascii="仿宋_GB2312" w:hAnsi="仿宋_GB2312" w:eastAsia="仿宋_GB2312" w:cs="仿宋_GB2312"/>
          <w:sz w:val="28"/>
          <w:szCs w:val="30"/>
        </w:rPr>
        <w:t>设备组成和详细参数如下表</w:t>
      </w:r>
      <w:r>
        <w:rPr>
          <w:rFonts w:ascii="仿宋_GB2312" w:hAnsi="仿宋_GB2312" w:eastAsia="仿宋_GB2312" w:cs="仿宋_GB2312"/>
          <w:sz w:val="28"/>
          <w:szCs w:val="30"/>
        </w:rPr>
        <w:t>2</w:t>
      </w:r>
    </w:p>
    <w:p>
      <w:pPr>
        <w:spacing w:line="560" w:lineRule="exact"/>
        <w:ind w:firstLine="560" w:firstLineChars="200"/>
        <w:jc w:val="center"/>
        <w:rPr>
          <w:rFonts w:ascii="仿宋_GB2312" w:hAnsi="仿宋_GB2312" w:eastAsia="仿宋_GB2312" w:cs="仿宋_GB2312"/>
          <w:sz w:val="28"/>
          <w:szCs w:val="30"/>
        </w:rPr>
      </w:pPr>
      <w:r>
        <w:rPr>
          <w:rFonts w:hint="eastAsia" w:ascii="仿宋_GB2312" w:hAnsi="仿宋_GB2312" w:eastAsia="仿宋_GB2312" w:cs="仿宋_GB2312"/>
          <w:sz w:val="28"/>
          <w:szCs w:val="30"/>
        </w:rPr>
        <w:t>表</w:t>
      </w:r>
      <w:r>
        <w:rPr>
          <w:rFonts w:ascii="仿宋_GB2312" w:hAnsi="仿宋_GB2312" w:eastAsia="仿宋_GB2312" w:cs="仿宋_GB2312"/>
          <w:sz w:val="28"/>
          <w:szCs w:val="30"/>
        </w:rPr>
        <w:t>2</w:t>
      </w:r>
      <w:r>
        <w:rPr>
          <w:rFonts w:hint="eastAsia" w:ascii="仿宋_GB2312" w:hAnsi="仿宋_GB2312" w:eastAsia="仿宋_GB2312" w:cs="仿宋_GB2312"/>
          <w:sz w:val="28"/>
          <w:szCs w:val="30"/>
        </w:rPr>
        <w:t xml:space="preserve"> 设备组成和详细参数</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93"/>
        <w:gridCol w:w="992"/>
        <w:gridCol w:w="4819"/>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序号</w:t>
            </w:r>
          </w:p>
        </w:tc>
        <w:tc>
          <w:tcPr>
            <w:tcW w:w="993"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名称</w:t>
            </w:r>
          </w:p>
        </w:tc>
        <w:tc>
          <w:tcPr>
            <w:tcW w:w="992"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数量</w:t>
            </w:r>
          </w:p>
        </w:tc>
        <w:tc>
          <w:tcPr>
            <w:tcW w:w="4819"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主要技术参数及规格</w:t>
            </w:r>
          </w:p>
        </w:tc>
        <w:tc>
          <w:tcPr>
            <w:tcW w:w="1088" w:type="dxa"/>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1</w:t>
            </w:r>
          </w:p>
        </w:tc>
        <w:tc>
          <w:tcPr>
            <w:tcW w:w="993"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支撑台及原料位、组装位</w:t>
            </w:r>
          </w:p>
        </w:tc>
        <w:tc>
          <w:tcPr>
            <w:tcW w:w="992"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1台</w:t>
            </w:r>
          </w:p>
        </w:tc>
        <w:tc>
          <w:tcPr>
            <w:tcW w:w="4819" w:type="dxa"/>
            <w:vAlign w:val="center"/>
          </w:tcPr>
          <w:p>
            <w:pPr>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具体参数：</w:t>
            </w:r>
          </w:p>
          <w:p>
            <w:pPr>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1）整体尺寸：</w:t>
            </w:r>
            <w:r>
              <w:rPr>
                <w:rFonts w:hint="eastAsia" w:ascii="微软雅黑" w:hAnsi="微软雅黑" w:eastAsia="微软雅黑"/>
                <w:color w:val="585858"/>
              </w:rPr>
              <w:t>1500*1130*1300</w:t>
            </w:r>
            <w:r>
              <w:rPr>
                <w:rFonts w:hint="eastAsia" w:ascii="仿宋_GB2312" w:hAnsi="仿宋_GB2312" w:eastAsia="仿宋_GB2312" w:cs="仿宋_GB2312"/>
                <w:kern w:val="0"/>
                <w:sz w:val="24"/>
              </w:rPr>
              <w:t>mm(长宽高)</w:t>
            </w:r>
          </w:p>
          <w:p>
            <w:pPr>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2）包含6个原料位、9个组装料位、一个检测位；</w:t>
            </w:r>
          </w:p>
        </w:tc>
        <w:tc>
          <w:tcPr>
            <w:tcW w:w="1088" w:type="dxa"/>
            <w:vAlign w:val="center"/>
          </w:tcPr>
          <w:p>
            <w:pPr>
              <w:widowControl/>
              <w:jc w:val="lef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2</w:t>
            </w:r>
          </w:p>
        </w:tc>
        <w:tc>
          <w:tcPr>
            <w:tcW w:w="993"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三轴机械手</w:t>
            </w:r>
          </w:p>
        </w:tc>
        <w:tc>
          <w:tcPr>
            <w:tcW w:w="992"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1套</w:t>
            </w:r>
          </w:p>
        </w:tc>
        <w:tc>
          <w:tcPr>
            <w:tcW w:w="4819" w:type="dxa"/>
            <w:vAlign w:val="center"/>
          </w:tcPr>
          <w:p>
            <w:pPr>
              <w:rPr>
                <w:rFonts w:ascii="仿宋_GB2312" w:hAnsi="仿宋_GB2312" w:eastAsia="仿宋_GB2312" w:cs="仿宋_GB2312"/>
                <w:kern w:val="0"/>
                <w:sz w:val="24"/>
              </w:rPr>
            </w:pPr>
            <w:r>
              <w:rPr>
                <w:rFonts w:hint="eastAsia" w:ascii="仿宋_GB2312" w:hAnsi="仿宋_GB2312" w:eastAsia="仿宋_GB2312" w:cs="仿宋_GB2312"/>
                <w:kern w:val="0"/>
                <w:sz w:val="24"/>
              </w:rPr>
              <w:t>三轴直线模组行程700Mm;由400W伺服电机与配套起始、限位传感器组成。</w:t>
            </w:r>
          </w:p>
        </w:tc>
        <w:tc>
          <w:tcPr>
            <w:tcW w:w="1088" w:type="dxa"/>
            <w:vAlign w:val="center"/>
          </w:tcPr>
          <w:p>
            <w:pPr>
              <w:widowControl/>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3</w:t>
            </w:r>
          </w:p>
        </w:tc>
        <w:tc>
          <w:tcPr>
            <w:tcW w:w="993" w:type="dxa"/>
            <w:vAlign w:val="center"/>
          </w:tcPr>
          <w:p>
            <w:pPr>
              <w:rPr>
                <w:rFonts w:ascii="仿宋_GB2312" w:hAnsi="仿宋_GB2312" w:eastAsia="仿宋_GB2312" w:cs="仿宋_GB2312"/>
                <w:kern w:val="0"/>
                <w:sz w:val="24"/>
              </w:rPr>
            </w:pPr>
            <w:r>
              <w:rPr>
                <w:rFonts w:hint="eastAsia" w:ascii="仿宋_GB2312" w:hAnsi="仿宋_GB2312" w:eastAsia="仿宋_GB2312" w:cs="仿宋_GB2312"/>
                <w:kern w:val="0"/>
                <w:sz w:val="24"/>
              </w:rPr>
              <w:t>主控系统及电控板</w:t>
            </w:r>
          </w:p>
        </w:tc>
        <w:tc>
          <w:tcPr>
            <w:tcW w:w="992"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1台</w:t>
            </w:r>
          </w:p>
        </w:tc>
        <w:tc>
          <w:tcPr>
            <w:tcW w:w="4819" w:type="dxa"/>
            <w:vAlign w:val="center"/>
          </w:tcPr>
          <w:p>
            <w:pPr>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以西门子1200PLC为主控；配套IO扩展模块及总线IO模块。电源供电采用AC220V；</w:t>
            </w:r>
          </w:p>
        </w:tc>
        <w:tc>
          <w:tcPr>
            <w:tcW w:w="1088" w:type="dxa"/>
            <w:vAlign w:val="center"/>
          </w:tcPr>
          <w:p>
            <w:pPr>
              <w:widowControl/>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4</w:t>
            </w:r>
          </w:p>
        </w:tc>
        <w:tc>
          <w:tcPr>
            <w:tcW w:w="993"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智能读写头</w:t>
            </w:r>
          </w:p>
        </w:tc>
        <w:tc>
          <w:tcPr>
            <w:tcW w:w="992"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1套</w:t>
            </w:r>
          </w:p>
        </w:tc>
        <w:tc>
          <w:tcPr>
            <w:tcW w:w="4819" w:type="dxa"/>
            <w:vAlign w:val="center"/>
          </w:tcPr>
          <w:p>
            <w:pPr>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包含Q80RFID射频检测读写头，用于物料追踪、订单追溯</w:t>
            </w:r>
          </w:p>
        </w:tc>
        <w:tc>
          <w:tcPr>
            <w:tcW w:w="1088" w:type="dxa"/>
            <w:vAlign w:val="center"/>
          </w:tcPr>
          <w:p>
            <w:pPr>
              <w:widowControl/>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5</w:t>
            </w:r>
          </w:p>
        </w:tc>
        <w:tc>
          <w:tcPr>
            <w:tcW w:w="993"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工业互联网平台系统</w:t>
            </w:r>
          </w:p>
        </w:tc>
        <w:tc>
          <w:tcPr>
            <w:tcW w:w="992"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1套</w:t>
            </w:r>
          </w:p>
        </w:tc>
        <w:tc>
          <w:tcPr>
            <w:tcW w:w="4819" w:type="dxa"/>
            <w:vAlign w:val="center"/>
          </w:tcPr>
          <w:p>
            <w:pPr>
              <w:rPr>
                <w:rFonts w:ascii="仿宋_GB2312" w:hAnsi="仿宋_GB2312" w:eastAsia="仿宋_GB2312" w:cs="仿宋_GB2312"/>
                <w:kern w:val="0"/>
                <w:sz w:val="24"/>
              </w:rPr>
            </w:pPr>
            <w:r>
              <w:rPr>
                <w:rFonts w:hint="eastAsia" w:ascii="仿宋_GB2312" w:hAnsi="仿宋_GB2312" w:eastAsia="仿宋_GB2312" w:cs="仿宋_GB2312"/>
                <w:kern w:val="0"/>
                <w:sz w:val="24"/>
              </w:rPr>
              <w:t>包含模块：</w:t>
            </w:r>
          </w:p>
          <w:p>
            <w:pPr>
              <w:rPr>
                <w:rFonts w:ascii="仿宋_GB2312" w:hAnsi="仿宋_GB2312" w:eastAsia="仿宋_GB2312" w:cs="仿宋_GB2312"/>
                <w:kern w:val="0"/>
                <w:sz w:val="24"/>
              </w:rPr>
            </w:pPr>
            <w:r>
              <w:rPr>
                <w:rFonts w:hint="eastAsia" w:ascii="仿宋_GB2312" w:hAnsi="仿宋_GB2312" w:eastAsia="仿宋_GB2312" w:cs="仿宋_GB2312"/>
                <w:kern w:val="0"/>
                <w:sz w:val="24"/>
              </w:rPr>
              <w:t>核心模块（Core Module具有高可靠性、高扩展性、搞数据吞吐能力的特性，满足内部模块之间快速、安全、可靠和可伸缩的数据交换." 接入协议管理模块该模块是本平台的连接核心模块，用于处理不同的数据源（PLC、物联网终端）的连接及数据处理，该模块支持并可扩展各类不同的协议实现互联互通，并通过高速数据总线实现与中心数据库连接，相关据写入中心数据库，并通过中心数据库实现与其他模块之间的数据交互。报警模块（Alarm Module）报警模块会监控相关数据变化，并结合阈值配置及设定实现报警推送，包括推送通知（App消息）方式通知目标用户。""4.历史模块（History Module）历史模块的主要用途是记录数据的存储、变更、访问等数据记录，以便后续针对相关信息进行访问及追溯管理，该模块作为数据存储单元，可以使用中央数据库或任何其他外部数据库（包括SQL Server等）。"5.数据库模块（SQL）基于核心模块提供中心数据库用于所有连接设备的配置及记录存储，同时也可以作为相关传感器数据存储空间，并为不同的系统模块提供数据源。</w:t>
            </w:r>
          </w:p>
          <w:p>
            <w:pPr>
              <w:rPr>
                <w:rFonts w:ascii="仿宋_GB2312" w:hAnsi="仿宋_GB2312" w:eastAsia="仿宋_GB2312" w:cs="仿宋_GB2312"/>
                <w:kern w:val="0"/>
                <w:sz w:val="24"/>
              </w:rPr>
            </w:pPr>
            <w:r>
              <w:rPr>
                <w:rFonts w:hint="eastAsia" w:ascii="仿宋_GB2312" w:hAnsi="仿宋_GB2312" w:eastAsia="仿宋_GB2312" w:cs="仿宋_GB2312"/>
                <w:kern w:val="0"/>
                <w:sz w:val="24"/>
              </w:rPr>
              <w:t>功能：可针对不同的数据终端（常用自动化终端如PLC\机器人、机床、仪表等）、数据系统（常用数据库如MYSQL、oracle）、以及控制器直连等数据接入的模式复杂性，通过M2M协议与控制系统或特定服务器进行通信，实现数据系统连接与交互（如历史数据、报警管理、数据分析、规则引擎等功能）和多数据源混合模式的复合式融合，及内嵌逻辑代码自动生成技术。二次开发接口，方便未来扩展；可实现云端部署；可部署于阿里云及局域网，支持市场上常用的安卓与苹果工业APP开发工具。</w:t>
            </w:r>
          </w:p>
        </w:tc>
        <w:tc>
          <w:tcPr>
            <w:tcW w:w="1088" w:type="dxa"/>
            <w:vAlign w:val="center"/>
          </w:tcPr>
          <w:p>
            <w:pPr>
              <w:widowControl/>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6</w:t>
            </w:r>
          </w:p>
        </w:tc>
        <w:tc>
          <w:tcPr>
            <w:tcW w:w="993"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工业APP</w:t>
            </w:r>
          </w:p>
        </w:tc>
        <w:tc>
          <w:tcPr>
            <w:tcW w:w="992"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1套</w:t>
            </w:r>
          </w:p>
        </w:tc>
        <w:tc>
          <w:tcPr>
            <w:tcW w:w="4819" w:type="dxa"/>
            <w:vAlign w:val="center"/>
          </w:tcPr>
          <w:p>
            <w:pPr>
              <w:rPr>
                <w:rFonts w:ascii="仿宋_GB2312" w:hAnsi="仿宋_GB2312" w:eastAsia="仿宋_GB2312" w:cs="仿宋_GB2312"/>
                <w:kern w:val="0"/>
                <w:sz w:val="24"/>
              </w:rPr>
            </w:pPr>
            <w:r>
              <w:rPr>
                <w:rFonts w:hint="eastAsia" w:ascii="仿宋_GB2312" w:hAnsi="仿宋_GB2312" w:eastAsia="仿宋_GB2312" w:cs="仿宋_GB2312"/>
                <w:kern w:val="0"/>
                <w:sz w:val="24"/>
              </w:rPr>
              <w:t>基于安卓系统，针对特定工业应用场景开发，可实现产品定制及过程监管功能</w:t>
            </w:r>
          </w:p>
        </w:tc>
        <w:tc>
          <w:tcPr>
            <w:tcW w:w="1088" w:type="dxa"/>
            <w:vAlign w:val="center"/>
          </w:tcPr>
          <w:p>
            <w:pPr>
              <w:widowControl/>
              <w:jc w:val="left"/>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57"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7</w:t>
            </w:r>
          </w:p>
        </w:tc>
        <w:tc>
          <w:tcPr>
            <w:tcW w:w="993"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附件</w:t>
            </w:r>
          </w:p>
        </w:tc>
        <w:tc>
          <w:tcPr>
            <w:tcW w:w="992" w:type="dxa"/>
            <w:vAlign w:val="center"/>
          </w:tcPr>
          <w:p>
            <w:pPr>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1套</w:t>
            </w:r>
          </w:p>
        </w:tc>
        <w:tc>
          <w:tcPr>
            <w:tcW w:w="4819" w:type="dxa"/>
            <w:vAlign w:val="center"/>
          </w:tcPr>
          <w:p>
            <w:pPr>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路由器、网线、线槽、工件、托盘等</w:t>
            </w:r>
          </w:p>
        </w:tc>
        <w:tc>
          <w:tcPr>
            <w:tcW w:w="1088" w:type="dxa"/>
            <w:vAlign w:val="center"/>
          </w:tcPr>
          <w:p>
            <w:pPr>
              <w:jc w:val="left"/>
              <w:rPr>
                <w:rFonts w:ascii="仿宋_GB2312" w:hAnsi="仿宋_GB2312" w:eastAsia="仿宋_GB2312" w:cs="仿宋_GB2312"/>
                <w:kern w:val="0"/>
                <w:sz w:val="24"/>
              </w:rPr>
            </w:pPr>
          </w:p>
        </w:tc>
      </w:tr>
    </w:tbl>
    <w:p>
      <w:pPr>
        <w:snapToGrid w:val="0"/>
        <w:spacing w:line="540" w:lineRule="exact"/>
        <w:ind w:firstLine="600" w:firstLineChars="200"/>
        <w:rPr>
          <w:rFonts w:ascii="Arial Narrow" w:hAnsi="Arial Narrow" w:eastAsia="仿宋_GB2312" w:cs="Arial"/>
          <w:color w:val="000000"/>
          <w:sz w:val="30"/>
          <w:szCs w:val="30"/>
        </w:rPr>
      </w:pPr>
    </w:p>
    <w:p>
      <w:pPr>
        <w:pStyle w:val="3"/>
        <w:spacing w:line="540" w:lineRule="exact"/>
        <w:ind w:firstLine="585"/>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八、成绩评定</w:t>
      </w:r>
    </w:p>
    <w:p>
      <w:pPr>
        <w:snapToGrid w:val="0"/>
        <w:spacing w:line="540" w:lineRule="exact"/>
        <w:ind w:firstLine="600" w:firstLineChars="200"/>
        <w:rPr>
          <w:rFonts w:ascii="Arial Narrow" w:hAnsi="Arial Narrow" w:eastAsia="仿宋_GB2312" w:cs="Arial"/>
          <w:color w:val="000000"/>
          <w:sz w:val="30"/>
          <w:szCs w:val="30"/>
        </w:rPr>
      </w:pPr>
      <w:r>
        <w:rPr>
          <w:rFonts w:hint="eastAsia" w:ascii="Arial Narrow" w:hAnsi="Arial Narrow" w:eastAsia="仿宋_GB2312" w:cs="Arial"/>
          <w:color w:val="000000"/>
          <w:sz w:val="30"/>
          <w:szCs w:val="30"/>
        </w:rPr>
        <w:t>公开赛项评分标准和评分方式，赛项最终得分按百分制计分。成绩评定必须在公开、公平、公正、独立、透明的条件下进行。</w:t>
      </w:r>
    </w:p>
    <w:p>
      <w:pPr>
        <w:spacing w:line="360" w:lineRule="auto"/>
        <w:ind w:firstLine="600" w:firstLineChars="200"/>
        <w:rPr>
          <w:rFonts w:ascii="楷体" w:hAnsi="楷体" w:eastAsia="楷体" w:cs="仿宋"/>
          <w:sz w:val="30"/>
          <w:szCs w:val="30"/>
          <w:highlight w:val="yellow"/>
        </w:rPr>
      </w:pPr>
      <w:r>
        <w:rPr>
          <w:rFonts w:hint="eastAsia" w:ascii="楷体" w:hAnsi="楷体" w:eastAsia="楷体" w:cs="仿宋"/>
          <w:sz w:val="30"/>
          <w:szCs w:val="30"/>
        </w:rPr>
        <w:t>（一）评分原则</w:t>
      </w:r>
    </w:p>
    <w:p>
      <w:pPr>
        <w:spacing w:line="560" w:lineRule="exact"/>
        <w:ind w:firstLine="600" w:firstLineChars="200"/>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（1）现场评分</w:t>
      </w:r>
    </w:p>
    <w:p>
      <w:pPr>
        <w:spacing w:line="560" w:lineRule="exact"/>
        <w:ind w:firstLine="600" w:firstLineChars="200"/>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现场裁判依据现场打分表，对参赛队的操作规范、现场表现等进行评分。评分结果由参赛选手、裁判员、裁判长签字确认。</w:t>
      </w:r>
    </w:p>
    <w:p>
      <w:pPr>
        <w:spacing w:line="560" w:lineRule="exact"/>
        <w:ind w:firstLine="600" w:firstLineChars="200"/>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（2）过程评分</w:t>
      </w:r>
    </w:p>
    <w:p>
      <w:pPr>
        <w:spacing w:line="560" w:lineRule="exact"/>
        <w:ind w:firstLine="600" w:firstLineChars="200"/>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根据参赛选手在分步操作过程中的规范性、合理性以及完成质量等，评分裁判依据评分标准按步给分。</w:t>
      </w:r>
    </w:p>
    <w:p>
      <w:pPr>
        <w:spacing w:line="560" w:lineRule="exact"/>
        <w:ind w:firstLine="600" w:firstLineChars="200"/>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（3）抽检复核</w:t>
      </w:r>
    </w:p>
    <w:p>
      <w:pPr>
        <w:spacing w:line="560" w:lineRule="exact"/>
        <w:ind w:firstLine="600" w:firstLineChars="200"/>
        <w:rPr>
          <w:rFonts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为保障成绩统计的准确性，监督组对赛项总成绩排名前30%的所有参赛队伍的成绩进行复核；对其余成绩进行抽检复核，抽检覆盖率不得低于15%。监督组将复检中发现的错误通过书面方式及时告知裁判长，由裁判长更正成绩并签字确认。错误率超过5%的，则认定为非小概率事件，裁判组需对所有成绩进行复核。</w:t>
      </w:r>
    </w:p>
    <w:p>
      <w:pPr>
        <w:spacing w:line="360" w:lineRule="auto"/>
        <w:ind w:firstLine="600" w:firstLineChars="200"/>
        <w:rPr>
          <w:rFonts w:ascii="楷体" w:hAnsi="楷体" w:eastAsia="楷体" w:cs="仿宋"/>
          <w:sz w:val="30"/>
          <w:szCs w:val="30"/>
        </w:rPr>
      </w:pPr>
      <w:r>
        <w:rPr>
          <w:rFonts w:hint="eastAsia" w:ascii="楷体" w:hAnsi="楷体" w:eastAsia="楷体" w:cs="仿宋"/>
          <w:sz w:val="30"/>
          <w:szCs w:val="30"/>
        </w:rPr>
        <w:t>（二）评分细则（或评分标准）</w:t>
      </w:r>
    </w:p>
    <w:p>
      <w:pPr>
        <w:ind w:firstLine="600" w:firstLineChars="200"/>
        <w:rPr>
          <w:rFonts w:ascii="仿宋_GB2312" w:hAnsi="宋体" w:eastAsia="仿宋_GB2312" w:cs="Arial"/>
          <w:color w:val="000000"/>
          <w:kern w:val="0"/>
          <w:sz w:val="30"/>
          <w:szCs w:val="30"/>
        </w:rPr>
      </w:pPr>
      <w:r>
        <w:rPr>
          <w:rFonts w:hint="eastAsia" w:eastAsia="仿宋_GB2312"/>
          <w:sz w:val="30"/>
          <w:szCs w:val="30"/>
        </w:rPr>
        <w:t>本赛项操作技能成绩满分为100分。其中三轴机械臂</w:t>
      </w:r>
      <w:r>
        <w:rPr>
          <w:rFonts w:eastAsia="仿宋_GB2312"/>
          <w:sz w:val="30"/>
          <w:szCs w:val="30"/>
        </w:rPr>
        <w:t>调试</w:t>
      </w:r>
      <w:r>
        <w:rPr>
          <w:rFonts w:hint="eastAsia" w:eastAsia="仿宋_GB2312"/>
          <w:sz w:val="30"/>
          <w:szCs w:val="30"/>
        </w:rPr>
        <w:t>22分、“固定样式产品下单”APP的配置与调试33分、“定制样式产品下单”APP开发与调试35分、职业素养与安全意识10分。</w:t>
      </w:r>
      <w:r>
        <w:rPr>
          <w:rFonts w:hint="eastAsia" w:ascii="仿宋_GB2312" w:hAnsi="宋体" w:eastAsia="仿宋_GB2312" w:cs="Arial"/>
          <w:color w:val="000000"/>
          <w:kern w:val="0"/>
          <w:sz w:val="30"/>
          <w:szCs w:val="30"/>
        </w:rPr>
        <w:t>具体</w:t>
      </w:r>
      <w:r>
        <w:rPr>
          <w:rFonts w:ascii="仿宋_GB2312" w:hAnsi="宋体" w:eastAsia="仿宋_GB2312" w:cs="Arial"/>
          <w:color w:val="000000"/>
          <w:kern w:val="0"/>
          <w:sz w:val="30"/>
          <w:szCs w:val="30"/>
        </w:rPr>
        <w:t>评分细则如</w:t>
      </w:r>
      <w:r>
        <w:rPr>
          <w:rFonts w:hint="eastAsia" w:ascii="仿宋_GB2312" w:hAnsi="宋体" w:eastAsia="仿宋_GB2312" w:cs="Arial"/>
          <w:color w:val="000000"/>
          <w:kern w:val="0"/>
          <w:sz w:val="30"/>
          <w:szCs w:val="30"/>
        </w:rPr>
        <w:t>表3：</w:t>
      </w:r>
    </w:p>
    <w:p>
      <w:pPr>
        <w:jc w:val="center"/>
        <w:rPr>
          <w:rFonts w:eastAsia="仿宋_GB2312"/>
          <w:sz w:val="28"/>
          <w:szCs w:val="28"/>
        </w:rPr>
      </w:pPr>
      <w:r>
        <w:rPr>
          <w:rFonts w:hint="eastAsia" w:ascii="仿宋_GB2312" w:hAnsi="宋体" w:eastAsia="仿宋_GB2312" w:cs="Arial"/>
          <w:kern w:val="0"/>
          <w:sz w:val="28"/>
          <w:szCs w:val="30"/>
        </w:rPr>
        <w:t>表3评分细则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567"/>
        <w:gridCol w:w="2977"/>
        <w:gridCol w:w="1701"/>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809" w:type="dxa"/>
            <w:vAlign w:val="center"/>
          </w:tcPr>
          <w:p>
            <w:pPr>
              <w:jc w:val="left"/>
              <w:rPr>
                <w:rFonts w:ascii="仿宋_GB2312" w:eastAsia="仿宋_GB2312"/>
                <w:b/>
                <w:color w:val="000000"/>
                <w:sz w:val="24"/>
              </w:rPr>
            </w:pPr>
            <w:r>
              <w:rPr>
                <w:rFonts w:hint="eastAsia" w:ascii="仿宋_GB2312" w:eastAsia="仿宋_GB2312"/>
                <w:b/>
                <w:color w:val="000000"/>
                <w:sz w:val="24"/>
              </w:rPr>
              <w:t>比赛内容</w:t>
            </w:r>
          </w:p>
        </w:tc>
        <w:tc>
          <w:tcPr>
            <w:tcW w:w="567" w:type="dxa"/>
            <w:vAlign w:val="center"/>
          </w:tcPr>
          <w:p>
            <w:pPr>
              <w:jc w:val="center"/>
              <w:rPr>
                <w:rFonts w:ascii="仿宋_GB2312" w:eastAsia="仿宋_GB2312"/>
                <w:b/>
                <w:color w:val="000000"/>
                <w:sz w:val="24"/>
              </w:rPr>
            </w:pPr>
            <w:r>
              <w:rPr>
                <w:rFonts w:hint="eastAsia" w:ascii="仿宋_GB2312" w:eastAsia="仿宋_GB2312"/>
                <w:b/>
                <w:color w:val="000000"/>
                <w:sz w:val="24"/>
              </w:rPr>
              <w:t>分值</w:t>
            </w:r>
          </w:p>
        </w:tc>
        <w:tc>
          <w:tcPr>
            <w:tcW w:w="2977" w:type="dxa"/>
            <w:vAlign w:val="center"/>
          </w:tcPr>
          <w:p>
            <w:pPr>
              <w:jc w:val="center"/>
              <w:rPr>
                <w:rFonts w:ascii="仿宋_GB2312" w:eastAsia="仿宋_GB2312"/>
                <w:b/>
                <w:color w:val="000000"/>
                <w:sz w:val="24"/>
              </w:rPr>
            </w:pPr>
            <w:r>
              <w:rPr>
                <w:rFonts w:hint="eastAsia" w:ascii="仿宋_GB2312" w:eastAsia="仿宋_GB2312"/>
                <w:b/>
                <w:color w:val="000000"/>
                <w:sz w:val="24"/>
              </w:rPr>
              <w:t>评分方法</w:t>
            </w:r>
          </w:p>
        </w:tc>
        <w:tc>
          <w:tcPr>
            <w:tcW w:w="1701" w:type="dxa"/>
            <w:vAlign w:val="center"/>
          </w:tcPr>
          <w:p>
            <w:pPr>
              <w:jc w:val="center"/>
              <w:rPr>
                <w:rFonts w:ascii="仿宋_GB2312" w:eastAsia="仿宋_GB2312"/>
                <w:b/>
                <w:color w:val="000000"/>
                <w:sz w:val="24"/>
              </w:rPr>
            </w:pPr>
            <w:r>
              <w:rPr>
                <w:rFonts w:hint="eastAsia" w:ascii="仿宋_GB2312" w:eastAsia="仿宋_GB2312"/>
                <w:b/>
                <w:color w:val="000000"/>
                <w:sz w:val="24"/>
              </w:rPr>
              <w:t>审核方法</w:t>
            </w:r>
          </w:p>
        </w:tc>
        <w:tc>
          <w:tcPr>
            <w:tcW w:w="1468" w:type="dxa"/>
            <w:vAlign w:val="center"/>
          </w:tcPr>
          <w:p>
            <w:pPr>
              <w:jc w:val="center"/>
              <w:rPr>
                <w:rFonts w:ascii="仿宋_GB2312" w:eastAsia="仿宋_GB2312"/>
                <w:b/>
                <w:color w:val="000000"/>
                <w:sz w:val="24"/>
              </w:rPr>
            </w:pPr>
            <w:r>
              <w:rPr>
                <w:rFonts w:hint="eastAsia" w:ascii="仿宋_GB2312" w:eastAsia="仿宋_GB2312"/>
                <w:b/>
                <w:color w:val="000000"/>
                <w:sz w:val="24"/>
              </w:rPr>
              <w:t>公布方法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809" w:type="dxa"/>
            <w:vAlign w:val="center"/>
          </w:tcPr>
          <w:p>
            <w:pPr>
              <w:jc w:val="center"/>
              <w:rPr>
                <w:rFonts w:ascii="仿宋_GB2312" w:eastAsia="仿宋_GB2312"/>
                <w:color w:val="000000"/>
                <w:sz w:val="24"/>
              </w:rPr>
            </w:pPr>
            <w:r>
              <w:rPr>
                <w:rFonts w:hint="eastAsia" w:eastAsia="仿宋_GB2312"/>
                <w:sz w:val="24"/>
              </w:rPr>
              <w:t>三轴机械臂</w:t>
            </w:r>
            <w:r>
              <w:rPr>
                <w:rFonts w:eastAsia="仿宋_GB2312"/>
                <w:sz w:val="24"/>
              </w:rPr>
              <w:t>调试</w:t>
            </w:r>
          </w:p>
        </w:tc>
        <w:tc>
          <w:tcPr>
            <w:tcW w:w="567" w:type="dxa"/>
            <w:vAlign w:val="center"/>
          </w:tcPr>
          <w:p>
            <w:pPr>
              <w:jc w:val="center"/>
              <w:rPr>
                <w:rFonts w:ascii="仿宋_GB2312" w:eastAsia="仿宋_GB2312"/>
                <w:color w:val="000000"/>
                <w:sz w:val="24"/>
              </w:rPr>
            </w:pPr>
            <w:r>
              <w:rPr>
                <w:rFonts w:hint="eastAsia" w:ascii="仿宋_GB2312" w:eastAsia="仿宋_GB2312"/>
                <w:color w:val="000000"/>
                <w:sz w:val="24"/>
              </w:rPr>
              <w:t>22</w:t>
            </w:r>
          </w:p>
        </w:tc>
        <w:tc>
          <w:tcPr>
            <w:tcW w:w="2977" w:type="dxa"/>
            <w:vAlign w:val="center"/>
          </w:tcPr>
          <w:p>
            <w:pPr>
              <w:jc w:val="left"/>
              <w:rPr>
                <w:rFonts w:ascii="仿宋_GB2312" w:eastAsia="仿宋_GB2312"/>
                <w:color w:val="000000"/>
                <w:sz w:val="24"/>
              </w:rPr>
            </w:pPr>
            <w:r>
              <w:rPr>
                <w:rFonts w:hint="eastAsia" w:ascii="仿宋_GB2312" w:eastAsia="仿宋_GB2312"/>
                <w:color w:val="000000"/>
                <w:sz w:val="24"/>
              </w:rPr>
              <w:t>现场根据评分表评分</w:t>
            </w:r>
          </w:p>
        </w:tc>
        <w:tc>
          <w:tcPr>
            <w:tcW w:w="1701" w:type="dxa"/>
            <w:vAlign w:val="center"/>
          </w:tcPr>
          <w:p>
            <w:pPr>
              <w:jc w:val="left"/>
              <w:rPr>
                <w:rFonts w:ascii="仿宋_GB2312" w:eastAsia="仿宋_GB2312"/>
                <w:color w:val="000000"/>
                <w:sz w:val="24"/>
              </w:rPr>
            </w:pPr>
            <w:r>
              <w:rPr>
                <w:rFonts w:hint="eastAsia" w:ascii="仿宋_GB2312" w:eastAsia="仿宋_GB2312"/>
                <w:color w:val="000000"/>
                <w:sz w:val="24"/>
              </w:rPr>
              <w:t>参赛选手、现场评分裁判、监督签字</w:t>
            </w:r>
          </w:p>
        </w:tc>
        <w:tc>
          <w:tcPr>
            <w:tcW w:w="1468" w:type="dxa"/>
            <w:vAlign w:val="center"/>
          </w:tcPr>
          <w:p>
            <w:pPr>
              <w:jc w:val="center"/>
              <w:rPr>
                <w:rFonts w:ascii="仿宋_GB2312" w:eastAsia="仿宋_GB2312"/>
                <w:color w:val="000000"/>
                <w:sz w:val="24"/>
              </w:rPr>
            </w:pPr>
            <w:r>
              <w:rPr>
                <w:rFonts w:hint="eastAsia" w:ascii="仿宋_GB2312" w:eastAsia="仿宋_GB2312"/>
                <w:color w:val="000000"/>
                <w:sz w:val="24"/>
              </w:rPr>
              <w:t>大赛执委会公布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jc w:val="center"/>
              <w:rPr>
                <w:rFonts w:ascii="仿宋_GB2312" w:eastAsia="仿宋_GB2312"/>
                <w:color w:val="000000"/>
                <w:sz w:val="24"/>
              </w:rPr>
            </w:pPr>
            <w:r>
              <w:rPr>
                <w:rFonts w:hint="eastAsia" w:eastAsia="仿宋_GB2312"/>
                <w:sz w:val="24"/>
              </w:rPr>
              <w:t>“固定样式产品下单”APP的配置与调试</w:t>
            </w:r>
          </w:p>
        </w:tc>
        <w:tc>
          <w:tcPr>
            <w:tcW w:w="567" w:type="dxa"/>
            <w:vAlign w:val="center"/>
          </w:tcPr>
          <w:p>
            <w:pPr>
              <w:jc w:val="center"/>
              <w:rPr>
                <w:rFonts w:ascii="仿宋_GB2312" w:eastAsia="仿宋_GB2312"/>
                <w:color w:val="000000"/>
                <w:sz w:val="24"/>
              </w:rPr>
            </w:pPr>
            <w:r>
              <w:rPr>
                <w:rFonts w:hint="eastAsia" w:ascii="仿宋_GB2312" w:eastAsia="仿宋_GB2312"/>
                <w:color w:val="000000"/>
                <w:sz w:val="24"/>
              </w:rPr>
              <w:t>33</w:t>
            </w:r>
          </w:p>
        </w:tc>
        <w:tc>
          <w:tcPr>
            <w:tcW w:w="2977" w:type="dxa"/>
            <w:vAlign w:val="center"/>
          </w:tcPr>
          <w:p>
            <w:pPr>
              <w:jc w:val="left"/>
              <w:rPr>
                <w:rFonts w:ascii="仿宋_GB2312" w:eastAsia="仿宋_GB2312"/>
                <w:color w:val="000000"/>
                <w:sz w:val="24"/>
              </w:rPr>
            </w:pPr>
            <w:r>
              <w:rPr>
                <w:rFonts w:hint="eastAsia" w:ascii="仿宋_GB2312" w:eastAsia="仿宋_GB2312"/>
                <w:color w:val="000000"/>
                <w:sz w:val="24"/>
              </w:rPr>
              <w:t>现场根据评分表评分</w:t>
            </w:r>
          </w:p>
        </w:tc>
        <w:tc>
          <w:tcPr>
            <w:tcW w:w="1701" w:type="dxa"/>
            <w:vAlign w:val="center"/>
          </w:tcPr>
          <w:p>
            <w:pPr>
              <w:jc w:val="left"/>
              <w:rPr>
                <w:rFonts w:ascii="仿宋_GB2312" w:eastAsia="仿宋_GB2312"/>
                <w:color w:val="000000"/>
                <w:sz w:val="24"/>
              </w:rPr>
            </w:pPr>
            <w:r>
              <w:rPr>
                <w:rFonts w:hint="eastAsia" w:ascii="仿宋_GB2312" w:eastAsia="仿宋_GB2312"/>
                <w:color w:val="000000"/>
                <w:sz w:val="24"/>
              </w:rPr>
              <w:t>参赛选手、现场评分裁判、监督签字</w:t>
            </w:r>
          </w:p>
        </w:tc>
        <w:tc>
          <w:tcPr>
            <w:tcW w:w="1468" w:type="dxa"/>
            <w:vAlign w:val="center"/>
          </w:tcPr>
          <w:p>
            <w:pPr>
              <w:jc w:val="center"/>
              <w:rPr>
                <w:rFonts w:ascii="仿宋_GB2312" w:eastAsia="仿宋_GB2312"/>
                <w:color w:val="000000"/>
                <w:sz w:val="24"/>
              </w:rPr>
            </w:pPr>
            <w:r>
              <w:rPr>
                <w:rFonts w:hint="eastAsia" w:ascii="仿宋_GB2312" w:eastAsia="仿宋_GB2312"/>
                <w:color w:val="000000"/>
                <w:sz w:val="24"/>
              </w:rPr>
              <w:t>大赛执委会公布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jc w:val="center"/>
              <w:rPr>
                <w:rFonts w:ascii="仿宋_GB2312" w:eastAsia="仿宋_GB2312"/>
                <w:color w:val="000000"/>
                <w:sz w:val="24"/>
              </w:rPr>
            </w:pPr>
            <w:r>
              <w:rPr>
                <w:rFonts w:hint="eastAsia" w:eastAsia="仿宋_GB2312"/>
                <w:sz w:val="24"/>
              </w:rPr>
              <w:t>“定制样式产品下单”APP开发与调试</w:t>
            </w:r>
          </w:p>
        </w:tc>
        <w:tc>
          <w:tcPr>
            <w:tcW w:w="567" w:type="dxa"/>
            <w:vAlign w:val="center"/>
          </w:tcPr>
          <w:p>
            <w:pPr>
              <w:jc w:val="center"/>
              <w:rPr>
                <w:rFonts w:ascii="仿宋_GB2312" w:eastAsia="仿宋_GB2312"/>
                <w:color w:val="000000"/>
                <w:sz w:val="24"/>
              </w:rPr>
            </w:pPr>
            <w:r>
              <w:rPr>
                <w:rFonts w:hint="eastAsia" w:ascii="仿宋_GB2312" w:eastAsia="仿宋_GB2312"/>
                <w:color w:val="000000"/>
                <w:sz w:val="24"/>
              </w:rPr>
              <w:t>35</w:t>
            </w:r>
          </w:p>
        </w:tc>
        <w:tc>
          <w:tcPr>
            <w:tcW w:w="2977" w:type="dxa"/>
            <w:vAlign w:val="center"/>
          </w:tcPr>
          <w:p>
            <w:pPr>
              <w:jc w:val="left"/>
              <w:rPr>
                <w:rFonts w:ascii="仿宋_GB2312" w:eastAsia="仿宋_GB2312"/>
                <w:color w:val="000000"/>
                <w:sz w:val="24"/>
              </w:rPr>
            </w:pPr>
            <w:r>
              <w:rPr>
                <w:rFonts w:hint="eastAsia" w:ascii="仿宋_GB2312" w:eastAsia="仿宋_GB2312"/>
                <w:color w:val="000000"/>
                <w:sz w:val="24"/>
              </w:rPr>
              <w:t>现场根据评分表评分</w:t>
            </w:r>
          </w:p>
        </w:tc>
        <w:tc>
          <w:tcPr>
            <w:tcW w:w="1701" w:type="dxa"/>
            <w:vAlign w:val="center"/>
          </w:tcPr>
          <w:p>
            <w:pPr>
              <w:jc w:val="left"/>
              <w:rPr>
                <w:rFonts w:ascii="仿宋_GB2312" w:eastAsia="仿宋_GB2312"/>
                <w:color w:val="000000"/>
                <w:sz w:val="24"/>
              </w:rPr>
            </w:pPr>
            <w:r>
              <w:rPr>
                <w:rFonts w:hint="eastAsia" w:ascii="仿宋_GB2312" w:eastAsia="仿宋_GB2312"/>
                <w:color w:val="000000"/>
                <w:sz w:val="24"/>
              </w:rPr>
              <w:t>参赛选手、现场评分裁判、监督签字</w:t>
            </w:r>
          </w:p>
        </w:tc>
        <w:tc>
          <w:tcPr>
            <w:tcW w:w="1468" w:type="dxa"/>
            <w:vAlign w:val="center"/>
          </w:tcPr>
          <w:p>
            <w:pPr>
              <w:jc w:val="center"/>
              <w:rPr>
                <w:rFonts w:ascii="仿宋_GB2312" w:eastAsia="仿宋_GB2312"/>
                <w:color w:val="000000"/>
                <w:sz w:val="24"/>
              </w:rPr>
            </w:pPr>
            <w:r>
              <w:rPr>
                <w:rFonts w:hint="eastAsia" w:ascii="仿宋_GB2312" w:eastAsia="仿宋_GB2312"/>
                <w:color w:val="000000"/>
                <w:sz w:val="24"/>
              </w:rPr>
              <w:t>大赛执委会公布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Align w:val="center"/>
          </w:tcPr>
          <w:p>
            <w:pPr>
              <w:jc w:val="center"/>
              <w:rPr>
                <w:rFonts w:ascii="仿宋" w:hAnsi="仿宋" w:eastAsia="仿宋" w:cs="Arial"/>
                <w:color w:val="000000"/>
                <w:kern w:val="0"/>
                <w:sz w:val="24"/>
              </w:rPr>
            </w:pPr>
            <w:r>
              <w:rPr>
                <w:rFonts w:hint="eastAsia" w:ascii="仿宋" w:hAnsi="仿宋" w:eastAsia="仿宋" w:cs="Arial"/>
                <w:color w:val="000000"/>
                <w:kern w:val="0"/>
                <w:sz w:val="24"/>
              </w:rPr>
              <w:t>职业素养与安全意识</w:t>
            </w:r>
          </w:p>
        </w:tc>
        <w:tc>
          <w:tcPr>
            <w:tcW w:w="567" w:type="dxa"/>
            <w:vAlign w:val="center"/>
          </w:tcPr>
          <w:p>
            <w:pPr>
              <w:jc w:val="center"/>
              <w:rPr>
                <w:rFonts w:ascii="仿宋_GB2312" w:eastAsia="仿宋_GB2312"/>
                <w:color w:val="000000"/>
                <w:sz w:val="24"/>
              </w:rPr>
            </w:pPr>
            <w:r>
              <w:rPr>
                <w:rFonts w:hint="eastAsia" w:ascii="仿宋_GB2312" w:eastAsia="仿宋_GB2312"/>
                <w:color w:val="000000"/>
                <w:sz w:val="24"/>
              </w:rPr>
              <w:t>10</w:t>
            </w:r>
          </w:p>
        </w:tc>
        <w:tc>
          <w:tcPr>
            <w:tcW w:w="2977" w:type="dxa"/>
            <w:vAlign w:val="center"/>
          </w:tcPr>
          <w:p>
            <w:pPr>
              <w:jc w:val="left"/>
              <w:rPr>
                <w:rFonts w:ascii="仿宋_GB2312" w:eastAsia="仿宋_GB2312"/>
                <w:color w:val="000000"/>
                <w:sz w:val="24"/>
              </w:rPr>
            </w:pPr>
            <w:r>
              <w:rPr>
                <w:rFonts w:hint="eastAsia" w:ascii="仿宋_GB2312" w:eastAsia="仿宋_GB2312"/>
                <w:color w:val="000000"/>
                <w:sz w:val="24"/>
              </w:rPr>
              <w:t>现场根据评分表评分</w:t>
            </w:r>
          </w:p>
        </w:tc>
        <w:tc>
          <w:tcPr>
            <w:tcW w:w="1701" w:type="dxa"/>
            <w:vAlign w:val="center"/>
          </w:tcPr>
          <w:p>
            <w:pPr>
              <w:jc w:val="left"/>
              <w:rPr>
                <w:rFonts w:ascii="仿宋_GB2312" w:eastAsia="仿宋_GB2312"/>
                <w:color w:val="000000"/>
                <w:sz w:val="24"/>
              </w:rPr>
            </w:pPr>
            <w:r>
              <w:rPr>
                <w:rFonts w:hint="eastAsia" w:ascii="仿宋_GB2312" w:eastAsia="仿宋_GB2312"/>
                <w:color w:val="000000"/>
                <w:sz w:val="24"/>
              </w:rPr>
              <w:t>参赛选手、现场评分裁判、监督签字</w:t>
            </w:r>
          </w:p>
        </w:tc>
        <w:tc>
          <w:tcPr>
            <w:tcW w:w="1468" w:type="dxa"/>
            <w:vAlign w:val="center"/>
          </w:tcPr>
          <w:p>
            <w:pPr>
              <w:jc w:val="center"/>
              <w:rPr>
                <w:rFonts w:ascii="仿宋_GB2312" w:eastAsia="仿宋_GB2312"/>
                <w:color w:val="000000"/>
                <w:sz w:val="24"/>
              </w:rPr>
            </w:pPr>
            <w:r>
              <w:rPr>
                <w:rFonts w:hint="eastAsia" w:ascii="仿宋_GB2312" w:eastAsia="仿宋_GB2312"/>
                <w:color w:val="000000"/>
                <w:sz w:val="24"/>
              </w:rPr>
              <w:t>大赛执委会公布</w:t>
            </w:r>
          </w:p>
        </w:tc>
      </w:tr>
    </w:tbl>
    <w:p>
      <w:pPr>
        <w:snapToGrid w:val="0"/>
        <w:spacing w:line="540" w:lineRule="exact"/>
        <w:ind w:firstLine="600" w:firstLineChars="200"/>
        <w:rPr>
          <w:rFonts w:ascii="Arial Narrow" w:hAnsi="Arial Narrow" w:eastAsia="仿宋_GB2312" w:cs="Arial"/>
          <w:color w:val="FF0000"/>
          <w:sz w:val="30"/>
          <w:szCs w:val="30"/>
        </w:rPr>
      </w:pPr>
    </w:p>
    <w:p>
      <w:pPr>
        <w:snapToGrid w:val="0"/>
        <w:spacing w:line="540" w:lineRule="exact"/>
        <w:ind w:firstLine="600" w:firstLineChars="200"/>
        <w:rPr>
          <w:rFonts w:ascii="楷体" w:hAnsi="楷体" w:eastAsia="楷体" w:cs="仿宋"/>
          <w:sz w:val="30"/>
          <w:szCs w:val="30"/>
        </w:rPr>
      </w:pPr>
      <w:r>
        <w:rPr>
          <w:rFonts w:hint="eastAsia" w:ascii="楷体" w:hAnsi="楷体" w:eastAsia="楷体" w:cs="仿宋"/>
          <w:sz w:val="30"/>
          <w:szCs w:val="30"/>
        </w:rPr>
        <w:t>（三）奖项设置</w:t>
      </w:r>
    </w:p>
    <w:p>
      <w:pPr>
        <w:pStyle w:val="16"/>
        <w:tabs>
          <w:tab w:val="left" w:pos="425"/>
        </w:tabs>
        <w:spacing w:line="560" w:lineRule="exact"/>
        <w:ind w:firstLine="600" w:firstLineChars="200"/>
        <w:jc w:val="left"/>
        <w:outlineLvl w:val="2"/>
        <w:rPr>
          <w:rFonts w:ascii="仿宋_GB2312" w:hAnsi="宋体" w:eastAsia="仿宋_GB2312"/>
          <w:sz w:val="30"/>
          <w:szCs w:val="30"/>
        </w:rPr>
      </w:pPr>
      <w:r>
        <w:rPr>
          <w:rFonts w:hint="eastAsia" w:ascii="仿宋_GB2312" w:hAnsi="宋体" w:eastAsia="仿宋_GB2312"/>
          <w:sz w:val="30"/>
          <w:szCs w:val="30"/>
        </w:rPr>
        <w:t>1.赛项设团体</w:t>
      </w:r>
      <w:r>
        <w:rPr>
          <w:rFonts w:ascii="仿宋_GB2312" w:hAnsi="宋体" w:eastAsia="仿宋_GB2312"/>
          <w:sz w:val="30"/>
          <w:szCs w:val="30"/>
        </w:rPr>
        <w:t>一、二、三等奖。</w:t>
      </w:r>
      <w:r>
        <w:rPr>
          <w:rFonts w:hint="eastAsia" w:ascii="仿宋_GB2312" w:hAnsi="宋体" w:eastAsia="仿宋_GB2312"/>
          <w:sz w:val="30"/>
          <w:szCs w:val="30"/>
        </w:rPr>
        <w:t>按照竞赛总成绩由高到低排序，</w:t>
      </w:r>
      <w:r>
        <w:rPr>
          <w:rFonts w:ascii="仿宋_GB2312" w:hAnsi="宋体" w:eastAsia="仿宋_GB2312"/>
          <w:sz w:val="30"/>
          <w:szCs w:val="30"/>
        </w:rPr>
        <w:t>以实际参赛队总数为基数，一、二、三等奖获奖比例分别为10%、2</w:t>
      </w:r>
      <w:r>
        <w:rPr>
          <w:rFonts w:hint="eastAsia" w:ascii="仿宋_GB2312" w:hAnsi="宋体" w:eastAsia="仿宋_GB2312"/>
          <w:sz w:val="30"/>
          <w:szCs w:val="30"/>
        </w:rPr>
        <w:t>5</w:t>
      </w:r>
      <w:r>
        <w:rPr>
          <w:rFonts w:ascii="仿宋_GB2312" w:hAnsi="宋体" w:eastAsia="仿宋_GB2312"/>
          <w:sz w:val="30"/>
          <w:szCs w:val="30"/>
        </w:rPr>
        <w:t>%、3</w:t>
      </w:r>
      <w:r>
        <w:rPr>
          <w:rFonts w:hint="eastAsia" w:ascii="仿宋_GB2312" w:hAnsi="宋体" w:eastAsia="仿宋_GB2312"/>
          <w:sz w:val="30"/>
          <w:szCs w:val="30"/>
        </w:rPr>
        <w:t>5</w:t>
      </w:r>
      <w:r>
        <w:rPr>
          <w:rFonts w:ascii="仿宋_GB2312" w:hAnsi="宋体" w:eastAsia="仿宋_GB2312"/>
          <w:sz w:val="30"/>
          <w:szCs w:val="30"/>
        </w:rPr>
        <w:t>%（小数点后四舍五入）。</w:t>
      </w:r>
      <w:r>
        <w:rPr>
          <w:rFonts w:hint="eastAsia" w:ascii="仿宋_GB2312" w:hAnsi="宋体" w:eastAsia="仿宋_GB2312"/>
          <w:sz w:val="30"/>
          <w:szCs w:val="30"/>
        </w:rPr>
        <w:t>当总分相同时，取并列名次。</w:t>
      </w:r>
    </w:p>
    <w:p>
      <w:pPr>
        <w:snapToGrid w:val="0"/>
        <w:spacing w:line="540" w:lineRule="exact"/>
        <w:ind w:firstLine="600" w:firstLineChars="200"/>
        <w:rPr>
          <w:rFonts w:ascii="Arial Narrow" w:hAnsi="Arial Narrow" w:eastAsia="仿宋_GB2312" w:cs="Arial"/>
          <w:color w:val="000000"/>
          <w:sz w:val="30"/>
          <w:szCs w:val="30"/>
        </w:rPr>
      </w:pPr>
      <w:r>
        <w:rPr>
          <w:rFonts w:hint="eastAsia" w:ascii="仿宋_GB2312" w:hAnsi="仿宋_GB2312" w:eastAsia="仿宋_GB2312" w:cs="仿宋_GB2312"/>
          <w:bCs/>
          <w:sz w:val="30"/>
          <w:szCs w:val="30"/>
        </w:rPr>
        <w:t>2.获得团体一等奖参赛队的指导教师，由主办方授予“2020年度机械行业职业教育技能大赛优秀指导教师”，并颁发荣誉证书。</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九、赛项安全</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（一）赛场所有人员（赛场管理与组织人员、裁判员、参赛员以及观摩人员）不得在竞赛现场内外吸烟，不听劝阻者给予通报批评或清退竞赛现场，造成严重后果的将依法处理。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（二）未经允许不得使用和移动竞赛场内的任何设施设备（包括消防器材等），工具使用后放回原处。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（三）选手在竞赛中必须遵守赛场的各项规章制度和操作规程，安全、合理的使用各种设施设备和工具，出现严重违章操作加工设备的，裁判视情节轻重进行批评和终止竞赛。</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（四）选手参加实际操作竞赛前，应由参赛校进行安全教育。竞赛中如发现问题应及时解决，无法解决的问题应及时向裁判员报告，裁判员视情况予以判定，并协调处理。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pPr>
        <w:pStyle w:val="3"/>
        <w:spacing w:line="540" w:lineRule="exact"/>
        <w:ind w:firstLine="585"/>
        <w:rPr>
          <w:rFonts w:ascii="Arial Narrow" w:hAnsi="Arial Narrow" w:eastAsia="仿宋_GB2312" w:cs="Arial"/>
          <w:color w:val="000000"/>
          <w:sz w:val="30"/>
          <w:szCs w:val="30"/>
        </w:rPr>
      </w:pPr>
      <w:r>
        <w:rPr>
          <w:rFonts w:hint="eastAsia" w:ascii="仿宋_GB2312" w:hAnsi="仿宋_GB2312" w:eastAsia="仿宋_GB2312" w:cs="仿宋_GB2312"/>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pPr>
        <w:snapToGrid w:val="0"/>
        <w:spacing w:line="540" w:lineRule="exact"/>
        <w:ind w:firstLine="602" w:firstLineChars="200"/>
        <w:rPr>
          <w:rFonts w:ascii="Arial Narrow" w:hAnsi="Arial Narrow" w:eastAsia="仿宋_GB2312" w:cs="Arial"/>
          <w:color w:val="000000"/>
          <w:sz w:val="30"/>
          <w:szCs w:val="30"/>
        </w:rPr>
      </w:pPr>
      <w:r>
        <w:rPr>
          <w:rFonts w:hint="eastAsia" w:ascii="Arial Narrow" w:hAnsi="Arial Narrow" w:eastAsia="仿宋_GB2312" w:cs="Arial"/>
          <w:b/>
          <w:bCs/>
          <w:color w:val="000000"/>
          <w:sz w:val="30"/>
          <w:szCs w:val="30"/>
        </w:rPr>
        <w:t>十、竞赛须知</w:t>
      </w:r>
    </w:p>
    <w:p>
      <w:pPr>
        <w:spacing w:line="360" w:lineRule="auto"/>
        <w:ind w:firstLine="600" w:firstLineChars="200"/>
        <w:rPr>
          <w:rFonts w:hint="eastAsia" w:ascii="仿宋_GB2312" w:hAnsi="Verdana,ˎ̥" w:eastAsia="仿宋_GB2312" w:cs="Arial Unicode MS"/>
          <w:color w:val="000000"/>
          <w:kern w:val="0"/>
          <w:sz w:val="30"/>
          <w:szCs w:val="30"/>
          <w:u w:color="000000"/>
          <w:lang w:val="en"/>
        </w:rPr>
      </w:pPr>
      <w:r>
        <w:rPr>
          <w:rFonts w:hint="eastAsia" w:ascii="仿宋_GB2312" w:hAnsi="Verdana,ˎ̥" w:eastAsia="仿宋_GB2312" w:cs="Arial Unicode MS"/>
          <w:color w:val="000000"/>
          <w:kern w:val="0"/>
          <w:sz w:val="30"/>
          <w:szCs w:val="30"/>
          <w:u w:color="000000"/>
          <w:lang w:val="en"/>
        </w:rPr>
        <w:t>（一）参赛队须知</w:t>
      </w:r>
    </w:p>
    <w:p>
      <w:pPr>
        <w:pStyle w:val="19"/>
        <w:spacing w:after="0" w:line="60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1．参赛队名称统一使用参赛号，不得出现学校信息。</w:t>
      </w:r>
    </w:p>
    <w:p>
      <w:pPr>
        <w:pStyle w:val="19"/>
        <w:spacing w:after="0" w:line="60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2．参赛队员在报名获得审核确认后，原则上不再更换，如筹备过程中，队员因故不能参赛，所在单位需出具书面说明并按相关规定补充人员并接受审核；竞赛开始后，参赛队不得更换参赛队员，允许队员缺席比赛。</w:t>
      </w:r>
    </w:p>
    <w:p>
      <w:pPr>
        <w:pStyle w:val="19"/>
        <w:spacing w:after="0" w:line="60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3．参赛队按照大赛赛程安排，凭大赛组委会颁发的参赛证和有效身份证件参加比赛及相关活动。</w:t>
      </w:r>
    </w:p>
    <w:p>
      <w:pPr>
        <w:pStyle w:val="19"/>
        <w:spacing w:after="0" w:line="60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4．参赛队员统一着装，须符合安全生产及竞赛要求。</w:t>
      </w:r>
    </w:p>
    <w:p>
      <w:pPr>
        <w:pStyle w:val="19"/>
        <w:spacing w:after="0" w:line="60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5．参赛队员应自觉遵守赛场纪律，服从裁判、听从指挥、文明竞赛；持证进入赛场，禁止将通讯工具、自编电子或文字资料带入赛场。</w:t>
      </w:r>
    </w:p>
    <w:p>
      <w:pPr>
        <w:pStyle w:val="19"/>
        <w:spacing w:after="0" w:line="60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6．参赛队在进入现场之前需理清思路。</w:t>
      </w:r>
    </w:p>
    <w:p>
      <w:pPr>
        <w:pStyle w:val="19"/>
        <w:spacing w:after="0" w:line="60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7．比赛过程中，参赛选手须严格遵守操作过程和相关准则，保证设备及人身安全，并接受裁判员的监督和警示；若因设备故障导致选手中断或终止比赛，由大赛裁判长视具体情况做出裁决。</w:t>
      </w:r>
    </w:p>
    <w:p>
      <w:pPr>
        <w:pStyle w:val="19"/>
        <w:spacing w:after="0" w:line="60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8．比赛过程中，参赛选手由于操作失误导致设备不能正常工作，或造成安全事故不能进行比赛的，将被终止比赛。</w:t>
      </w:r>
    </w:p>
    <w:p>
      <w:pPr>
        <w:pStyle w:val="19"/>
        <w:spacing w:after="0" w:line="60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9．比赛过程中，各参赛选手限定在自己的工作区域和岗位完成比赛任务。</w:t>
      </w:r>
    </w:p>
    <w:p>
      <w:pPr>
        <w:pStyle w:val="19"/>
        <w:spacing w:after="0" w:line="600" w:lineRule="exact"/>
        <w:ind w:firstLine="480"/>
        <w:rPr>
          <w:rFonts w:hint="eastAsia" w:ascii="仿宋_GB2312" w:hAnsi="Verdana,ˎ̥" w:eastAsia="仿宋_GB2312"/>
          <w:sz w:val="30"/>
          <w:szCs w:val="30"/>
          <w:lang w:val="en"/>
        </w:rPr>
      </w:pPr>
      <w:r>
        <w:rPr>
          <w:rFonts w:hint="eastAsia" w:ascii="仿宋_GB2312" w:hAnsi="Verdana,ˎ̥" w:eastAsia="仿宋_GB2312"/>
          <w:sz w:val="30"/>
          <w:szCs w:val="30"/>
          <w:lang w:val="en"/>
        </w:rPr>
        <w:t>10．若参赛队欲提前结束比赛，应向裁判员举手示意，比赛终止时间由裁判员记录，参赛队结束比赛后不得再进行任何操作。</w:t>
      </w:r>
    </w:p>
    <w:p>
      <w:pPr>
        <w:spacing w:line="360" w:lineRule="auto"/>
        <w:ind w:firstLine="600" w:firstLineChars="200"/>
        <w:rPr>
          <w:rFonts w:hint="eastAsia" w:ascii="仿宋_GB2312" w:hAnsi="Verdana,ˎ̥" w:eastAsia="仿宋_GB2312" w:cs="Arial Unicode MS"/>
          <w:color w:val="000000"/>
          <w:kern w:val="0"/>
          <w:sz w:val="30"/>
          <w:szCs w:val="30"/>
          <w:u w:color="000000"/>
          <w:lang w:val="en"/>
        </w:rPr>
      </w:pPr>
      <w:r>
        <w:rPr>
          <w:rFonts w:hint="eastAsia" w:ascii="仿宋_GB2312" w:hAnsi="Verdana,ˎ̥" w:eastAsia="仿宋_GB2312" w:cs="Arial Unicode MS"/>
          <w:color w:val="000000"/>
          <w:kern w:val="0"/>
          <w:sz w:val="30"/>
          <w:szCs w:val="30"/>
          <w:u w:color="000000"/>
          <w:lang w:val="en"/>
        </w:rPr>
        <w:t>（二）领队、指导教师须知</w:t>
      </w:r>
    </w:p>
    <w:p>
      <w:pPr>
        <w:spacing w:line="360" w:lineRule="auto"/>
        <w:ind w:firstLine="600" w:firstLineChars="200"/>
        <w:rPr>
          <w:rFonts w:eastAsia="仿宋_GB2312"/>
          <w:sz w:val="30"/>
          <w:szCs w:val="30"/>
        </w:rPr>
      </w:pPr>
      <w:r>
        <w:rPr>
          <w:rFonts w:hint="eastAsia" w:eastAsia="仿宋_GB2312"/>
          <w:sz w:val="30"/>
          <w:szCs w:val="30"/>
        </w:rPr>
        <w:t>1</w:t>
      </w:r>
      <w:r>
        <w:rPr>
          <w:rFonts w:eastAsia="仿宋_GB2312"/>
          <w:sz w:val="30"/>
          <w:szCs w:val="30"/>
        </w:rPr>
        <w:t>.</w:t>
      </w:r>
      <w:r>
        <w:rPr>
          <w:rFonts w:hint="eastAsia" w:eastAsia="仿宋_GB2312"/>
          <w:sz w:val="30"/>
          <w:szCs w:val="30"/>
        </w:rPr>
        <w:t>各参赛代表队要发扬良好道德风尚，听从指挥，服从裁判，不弄虚作假。如发现弄虚作假者，取消参赛资格，名次无效。</w:t>
      </w:r>
    </w:p>
    <w:p>
      <w:pPr>
        <w:spacing w:line="360" w:lineRule="auto"/>
        <w:ind w:firstLine="600" w:firstLineChars="200"/>
        <w:rPr>
          <w:rFonts w:eastAsia="仿宋_GB2312"/>
          <w:sz w:val="30"/>
          <w:szCs w:val="30"/>
        </w:rPr>
      </w:pPr>
      <w:r>
        <w:rPr>
          <w:rFonts w:hint="eastAsia" w:eastAsia="仿宋_GB2312"/>
          <w:sz w:val="30"/>
          <w:szCs w:val="30"/>
        </w:rPr>
        <w:t>2</w:t>
      </w:r>
      <w:r>
        <w:rPr>
          <w:rFonts w:eastAsia="仿宋_GB2312"/>
          <w:sz w:val="30"/>
          <w:szCs w:val="30"/>
        </w:rPr>
        <w:t>.</w:t>
      </w:r>
      <w:r>
        <w:rPr>
          <w:rFonts w:hint="eastAsia" w:eastAsia="仿宋_GB2312"/>
          <w:sz w:val="30"/>
          <w:szCs w:val="30"/>
        </w:rPr>
        <w:t>各代表队领队要坚决执行竞赛的各项规定，加强对参赛选手的管理，做好赛前准备工作，督促选手带好证件等竞赛相关材料。</w:t>
      </w:r>
    </w:p>
    <w:p>
      <w:pPr>
        <w:spacing w:line="360" w:lineRule="auto"/>
        <w:ind w:firstLine="600" w:firstLineChars="200"/>
        <w:rPr>
          <w:rFonts w:eastAsia="仿宋_GB2312"/>
          <w:sz w:val="30"/>
          <w:szCs w:val="30"/>
        </w:rPr>
      </w:pPr>
      <w:r>
        <w:rPr>
          <w:rFonts w:hint="eastAsia" w:eastAsia="仿宋_GB2312"/>
          <w:sz w:val="30"/>
          <w:szCs w:val="30"/>
        </w:rPr>
        <w:t>3</w:t>
      </w:r>
      <w:r>
        <w:rPr>
          <w:rFonts w:eastAsia="仿宋_GB2312"/>
          <w:sz w:val="30"/>
          <w:szCs w:val="30"/>
        </w:rPr>
        <w:t>.</w:t>
      </w:r>
      <w:r>
        <w:rPr>
          <w:rFonts w:hint="eastAsia" w:eastAsia="仿宋_GB2312"/>
          <w:sz w:val="30"/>
          <w:szCs w:val="30"/>
        </w:rPr>
        <w:t>竞赛过程中，除参加当场次竞赛的选手、执行裁判员、现场工作人员和经批准的人员外，领队、指导教师及其他人员一律不得进入竞赛现场。</w:t>
      </w:r>
    </w:p>
    <w:p>
      <w:pPr>
        <w:spacing w:line="360" w:lineRule="auto"/>
        <w:ind w:firstLine="600" w:firstLineChars="200"/>
        <w:rPr>
          <w:rFonts w:eastAsia="仿宋_GB2312"/>
          <w:sz w:val="30"/>
          <w:szCs w:val="30"/>
        </w:rPr>
      </w:pPr>
      <w:r>
        <w:rPr>
          <w:rFonts w:hint="eastAsia" w:eastAsia="仿宋_GB2312"/>
          <w:sz w:val="30"/>
          <w:szCs w:val="30"/>
        </w:rPr>
        <w:t>4</w:t>
      </w:r>
      <w:r>
        <w:rPr>
          <w:rFonts w:eastAsia="仿宋_GB2312"/>
          <w:sz w:val="30"/>
          <w:szCs w:val="30"/>
        </w:rPr>
        <w:t>.</w:t>
      </w:r>
      <w:r>
        <w:rPr>
          <w:rFonts w:hint="eastAsia" w:eastAsia="仿宋_GB2312"/>
          <w:sz w:val="30"/>
          <w:szCs w:val="30"/>
        </w:rPr>
        <w:t>参赛代表队若对竞赛过程有异议，在规定的时间内由领队向赛项仲裁工作组提出书面报告。</w:t>
      </w:r>
    </w:p>
    <w:p>
      <w:pPr>
        <w:spacing w:line="360" w:lineRule="auto"/>
        <w:ind w:firstLine="600" w:firstLineChars="200"/>
        <w:rPr>
          <w:rFonts w:eastAsia="仿宋_GB2312"/>
          <w:sz w:val="30"/>
          <w:szCs w:val="30"/>
        </w:rPr>
      </w:pPr>
      <w:r>
        <w:rPr>
          <w:rFonts w:hint="eastAsia" w:eastAsia="仿宋_GB2312"/>
          <w:sz w:val="30"/>
          <w:szCs w:val="30"/>
        </w:rPr>
        <w:t>5</w:t>
      </w:r>
      <w:r>
        <w:rPr>
          <w:rFonts w:eastAsia="仿宋_GB2312"/>
          <w:sz w:val="30"/>
          <w:szCs w:val="30"/>
        </w:rPr>
        <w:t>.</w:t>
      </w:r>
      <w:r>
        <w:rPr>
          <w:rFonts w:hint="eastAsia" w:eastAsia="仿宋_GB2312"/>
          <w:sz w:val="30"/>
          <w:szCs w:val="30"/>
        </w:rPr>
        <w:t>对申诉的仲裁结果，领队要带头服从和执行，并做好选手工作。参赛选手不得因申诉或对处理意见不服而停止竞赛，否则以弃权处理。</w:t>
      </w:r>
    </w:p>
    <w:p>
      <w:pPr>
        <w:spacing w:line="360" w:lineRule="auto"/>
        <w:ind w:firstLine="600" w:firstLineChars="200"/>
        <w:rPr>
          <w:rFonts w:eastAsia="仿宋_GB2312"/>
          <w:sz w:val="30"/>
          <w:szCs w:val="30"/>
        </w:rPr>
      </w:pPr>
      <w:r>
        <w:rPr>
          <w:rFonts w:hint="eastAsia" w:eastAsia="仿宋_GB2312"/>
          <w:sz w:val="30"/>
          <w:szCs w:val="30"/>
        </w:rPr>
        <w:t>6</w:t>
      </w:r>
      <w:r>
        <w:rPr>
          <w:rFonts w:eastAsia="仿宋_GB2312"/>
          <w:sz w:val="30"/>
          <w:szCs w:val="30"/>
        </w:rPr>
        <w:t>.</w:t>
      </w:r>
      <w:r>
        <w:rPr>
          <w:rFonts w:hint="eastAsia" w:eastAsia="仿宋_GB2312"/>
          <w:sz w:val="30"/>
          <w:szCs w:val="30"/>
        </w:rPr>
        <w:t>指导老师应认真研究和掌握本赛项竞赛的规程、技术规范和赛场要求，指导选手做好赛前的一切技术准备和竞赛准备。</w:t>
      </w:r>
    </w:p>
    <w:p>
      <w:pPr>
        <w:spacing w:line="360" w:lineRule="auto"/>
        <w:ind w:firstLine="600" w:firstLineChars="200"/>
        <w:rPr>
          <w:rFonts w:eastAsia="仿宋_GB2312"/>
          <w:sz w:val="30"/>
          <w:szCs w:val="30"/>
        </w:rPr>
      </w:pPr>
      <w:r>
        <w:rPr>
          <w:rFonts w:hint="eastAsia" w:eastAsia="仿宋_GB2312"/>
          <w:sz w:val="30"/>
          <w:szCs w:val="30"/>
        </w:rPr>
        <w:t>7</w:t>
      </w:r>
      <w:r>
        <w:rPr>
          <w:rFonts w:eastAsia="仿宋_GB2312"/>
          <w:sz w:val="30"/>
          <w:szCs w:val="30"/>
        </w:rPr>
        <w:t>.</w:t>
      </w:r>
      <w:r>
        <w:rPr>
          <w:rFonts w:hint="eastAsia" w:eastAsia="仿宋_GB2312"/>
          <w:sz w:val="30"/>
          <w:szCs w:val="30"/>
        </w:rPr>
        <w:t>领队和指导教师应在赛后做好赛事总结和工作总结。</w:t>
      </w:r>
    </w:p>
    <w:p>
      <w:pPr>
        <w:spacing w:line="360" w:lineRule="auto"/>
        <w:ind w:firstLine="600" w:firstLineChars="200"/>
        <w:rPr>
          <w:rFonts w:hint="eastAsia" w:ascii="仿宋_GB2312" w:hAnsi="Verdana,ˎ̥" w:eastAsia="仿宋_GB2312" w:cs="Arial Unicode MS"/>
          <w:color w:val="000000"/>
          <w:kern w:val="0"/>
          <w:sz w:val="30"/>
          <w:szCs w:val="30"/>
          <w:u w:color="000000"/>
          <w:lang w:val="en"/>
        </w:rPr>
      </w:pPr>
      <w:r>
        <w:rPr>
          <w:rFonts w:hint="eastAsia" w:ascii="仿宋_GB2312" w:hAnsi="Verdana,ˎ̥" w:eastAsia="仿宋_GB2312" w:cs="Arial Unicode MS"/>
          <w:color w:val="000000"/>
          <w:kern w:val="0"/>
          <w:sz w:val="30"/>
          <w:szCs w:val="30"/>
          <w:u w:color="000000"/>
          <w:lang w:val="en"/>
        </w:rPr>
        <w:t>（三）参赛选手须知</w:t>
      </w:r>
    </w:p>
    <w:p>
      <w:pPr>
        <w:spacing w:line="360" w:lineRule="auto"/>
        <w:ind w:firstLine="600" w:firstLineChars="200"/>
        <w:rPr>
          <w:rFonts w:eastAsia="仿宋_GB2312"/>
          <w:sz w:val="30"/>
          <w:szCs w:val="30"/>
        </w:rPr>
      </w:pPr>
      <w:r>
        <w:rPr>
          <w:rFonts w:hint="eastAsia" w:eastAsia="仿宋_GB2312"/>
          <w:sz w:val="30"/>
          <w:szCs w:val="30"/>
        </w:rPr>
        <w:t>1</w:t>
      </w:r>
      <w:r>
        <w:rPr>
          <w:rFonts w:eastAsia="仿宋_GB2312"/>
          <w:sz w:val="30"/>
          <w:szCs w:val="30"/>
        </w:rPr>
        <w:t>.</w:t>
      </w:r>
      <w:r>
        <w:rPr>
          <w:rFonts w:hint="eastAsia" w:eastAsia="仿宋_GB2312"/>
          <w:sz w:val="30"/>
          <w:szCs w:val="30"/>
        </w:rPr>
        <w:t>参赛选手应按有关要求如实填报个人信息，否则取消竞赛资格。</w:t>
      </w:r>
    </w:p>
    <w:p>
      <w:pPr>
        <w:spacing w:line="360" w:lineRule="auto"/>
        <w:ind w:firstLine="600" w:firstLineChars="200"/>
        <w:rPr>
          <w:rFonts w:eastAsia="仿宋_GB2312"/>
          <w:sz w:val="30"/>
          <w:szCs w:val="30"/>
        </w:rPr>
      </w:pPr>
      <w:r>
        <w:rPr>
          <w:rFonts w:hint="eastAsia" w:eastAsia="仿宋_GB2312"/>
          <w:sz w:val="30"/>
          <w:szCs w:val="30"/>
        </w:rPr>
        <w:t>2</w:t>
      </w:r>
      <w:r>
        <w:rPr>
          <w:rFonts w:eastAsia="仿宋_GB2312"/>
          <w:sz w:val="30"/>
          <w:szCs w:val="30"/>
        </w:rPr>
        <w:t>.</w:t>
      </w:r>
      <w:r>
        <w:rPr>
          <w:rFonts w:hint="eastAsia" w:eastAsia="仿宋_GB2312"/>
          <w:sz w:val="30"/>
          <w:szCs w:val="30"/>
        </w:rPr>
        <w:t>参赛选手凭统一印制的参赛证和有效身份证件参加竞赛，并按大赛要求提供相应的参赛证明文件。</w:t>
      </w:r>
    </w:p>
    <w:p>
      <w:pPr>
        <w:spacing w:line="360" w:lineRule="auto"/>
        <w:ind w:firstLine="600" w:firstLineChars="200"/>
        <w:rPr>
          <w:rFonts w:eastAsia="仿宋_GB2312"/>
          <w:sz w:val="30"/>
          <w:szCs w:val="30"/>
        </w:rPr>
      </w:pPr>
      <w:r>
        <w:rPr>
          <w:rFonts w:hint="eastAsia" w:eastAsia="仿宋_GB2312"/>
          <w:sz w:val="30"/>
          <w:szCs w:val="30"/>
        </w:rPr>
        <w:t>3</w:t>
      </w:r>
      <w:r>
        <w:rPr>
          <w:rFonts w:eastAsia="仿宋_GB2312"/>
          <w:sz w:val="30"/>
          <w:szCs w:val="30"/>
        </w:rPr>
        <w:t>.</w:t>
      </w:r>
      <w:r>
        <w:rPr>
          <w:rFonts w:hint="eastAsia" w:eastAsia="仿宋_GB2312"/>
          <w:sz w:val="30"/>
          <w:szCs w:val="30"/>
        </w:rPr>
        <w:t>参赛选手自备劳保鞋参加竞赛。</w:t>
      </w:r>
    </w:p>
    <w:p>
      <w:pPr>
        <w:spacing w:line="360" w:lineRule="auto"/>
        <w:ind w:firstLine="600" w:firstLineChars="200"/>
        <w:rPr>
          <w:rFonts w:eastAsia="仿宋_GB2312"/>
          <w:sz w:val="30"/>
          <w:szCs w:val="30"/>
        </w:rPr>
      </w:pPr>
      <w:r>
        <w:rPr>
          <w:rFonts w:hint="eastAsia" w:eastAsia="仿宋_GB2312"/>
          <w:sz w:val="30"/>
          <w:szCs w:val="30"/>
        </w:rPr>
        <w:t>4</w:t>
      </w:r>
      <w:r>
        <w:rPr>
          <w:rFonts w:eastAsia="仿宋_GB2312"/>
          <w:sz w:val="30"/>
          <w:szCs w:val="30"/>
        </w:rPr>
        <w:t>.</w:t>
      </w:r>
      <w:r>
        <w:rPr>
          <w:rFonts w:hint="eastAsia" w:eastAsia="仿宋_GB2312"/>
          <w:sz w:val="30"/>
          <w:szCs w:val="30"/>
        </w:rPr>
        <w:t>参赛选手应认真学习领会本次竞赛相关文件，自觉遵守大赛纪律，服从指挥，听从安排，文明参赛。</w:t>
      </w:r>
    </w:p>
    <w:p>
      <w:pPr>
        <w:spacing w:line="360" w:lineRule="auto"/>
        <w:ind w:firstLine="600" w:firstLineChars="200"/>
        <w:rPr>
          <w:rFonts w:eastAsia="仿宋_GB2312"/>
          <w:sz w:val="30"/>
          <w:szCs w:val="30"/>
        </w:rPr>
      </w:pPr>
      <w:r>
        <w:rPr>
          <w:rFonts w:hint="eastAsia" w:eastAsia="仿宋_GB2312"/>
          <w:sz w:val="30"/>
          <w:szCs w:val="30"/>
        </w:rPr>
        <w:t>5</w:t>
      </w:r>
      <w:r>
        <w:rPr>
          <w:rFonts w:eastAsia="仿宋_GB2312"/>
          <w:sz w:val="30"/>
          <w:szCs w:val="30"/>
        </w:rPr>
        <w:t>.</w:t>
      </w:r>
      <w:r>
        <w:rPr>
          <w:rFonts w:hint="eastAsia" w:eastAsia="仿宋_GB2312"/>
          <w:sz w:val="30"/>
          <w:szCs w:val="30"/>
        </w:rPr>
        <w:t>参赛选手请勿携带与竞赛无关的电子设备、通讯设备及其他资料与用品。</w:t>
      </w:r>
    </w:p>
    <w:p>
      <w:pPr>
        <w:spacing w:line="360" w:lineRule="auto"/>
        <w:ind w:firstLine="600" w:firstLineChars="200"/>
        <w:rPr>
          <w:rFonts w:eastAsia="仿宋_GB2312"/>
          <w:sz w:val="30"/>
          <w:szCs w:val="30"/>
        </w:rPr>
      </w:pPr>
      <w:r>
        <w:rPr>
          <w:rFonts w:hint="eastAsia" w:eastAsia="仿宋_GB2312"/>
          <w:sz w:val="30"/>
          <w:szCs w:val="30"/>
        </w:rPr>
        <w:t>6</w:t>
      </w:r>
      <w:r>
        <w:rPr>
          <w:rFonts w:eastAsia="仿宋_GB2312"/>
          <w:sz w:val="30"/>
          <w:szCs w:val="30"/>
        </w:rPr>
        <w:t>.</w:t>
      </w:r>
      <w:r>
        <w:rPr>
          <w:rFonts w:hint="eastAsia" w:eastAsia="仿宋_GB2312"/>
          <w:sz w:val="30"/>
          <w:szCs w:val="30"/>
        </w:rPr>
        <w:t>参赛选手应提前30分钟抵达赛场，凭参赛证、身份证件检录，按要求入场，不得迟到早退。</w:t>
      </w:r>
    </w:p>
    <w:p>
      <w:pPr>
        <w:spacing w:line="360" w:lineRule="auto"/>
        <w:ind w:firstLine="600" w:firstLineChars="200"/>
        <w:rPr>
          <w:rFonts w:eastAsia="仿宋_GB2312"/>
          <w:sz w:val="30"/>
          <w:szCs w:val="30"/>
        </w:rPr>
      </w:pPr>
      <w:r>
        <w:rPr>
          <w:rFonts w:hint="eastAsia" w:eastAsia="仿宋_GB2312"/>
          <w:sz w:val="30"/>
          <w:szCs w:val="30"/>
        </w:rPr>
        <w:t>7</w:t>
      </w:r>
      <w:r>
        <w:rPr>
          <w:rFonts w:eastAsia="仿宋_GB2312"/>
          <w:sz w:val="30"/>
          <w:szCs w:val="30"/>
        </w:rPr>
        <w:t>.</w:t>
      </w:r>
      <w:r>
        <w:rPr>
          <w:rFonts w:hint="eastAsia" w:eastAsia="仿宋_GB2312"/>
          <w:sz w:val="30"/>
          <w:szCs w:val="30"/>
        </w:rPr>
        <w:t>在竞赛过程中，如有疑问或遇竞赛用设备、等故障，参赛选手应按要求示意提问，竞赛裁判长、技术人员等应按照有关要求及时予以答疑、解决。确因硬件故障，致使操作无法继续的，经竞赛裁判长、技术人员等确认，准予启用备用赛位。如遇身体不适，参赛选手应即时示意，现场医务人员按应急预案救治。</w:t>
      </w:r>
    </w:p>
    <w:p>
      <w:pPr>
        <w:spacing w:line="360" w:lineRule="auto"/>
        <w:ind w:firstLine="600" w:firstLineChars="200"/>
        <w:rPr>
          <w:rFonts w:eastAsia="仿宋_GB2312"/>
          <w:sz w:val="30"/>
          <w:szCs w:val="30"/>
        </w:rPr>
      </w:pPr>
      <w:r>
        <w:rPr>
          <w:rFonts w:hint="eastAsia" w:eastAsia="仿宋_GB2312"/>
          <w:sz w:val="30"/>
          <w:szCs w:val="30"/>
        </w:rPr>
        <w:t>8</w:t>
      </w:r>
      <w:r>
        <w:rPr>
          <w:rFonts w:eastAsia="仿宋_GB2312"/>
          <w:sz w:val="30"/>
          <w:szCs w:val="30"/>
        </w:rPr>
        <w:t>.</w:t>
      </w:r>
      <w:r>
        <w:rPr>
          <w:rFonts w:hint="eastAsia" w:eastAsia="仿宋_GB2312"/>
          <w:sz w:val="30"/>
          <w:szCs w:val="30"/>
        </w:rPr>
        <w:t>各参赛选手必须按规范要求操作竞赛设备。一旦出现较严重的安全事故，经裁判长批准后将立即取消其参赛资格。</w:t>
      </w:r>
    </w:p>
    <w:p>
      <w:pPr>
        <w:spacing w:line="360" w:lineRule="auto"/>
        <w:ind w:firstLine="600" w:firstLineChars="200"/>
        <w:rPr>
          <w:rFonts w:eastAsia="仿宋_GB2312"/>
          <w:sz w:val="30"/>
          <w:szCs w:val="30"/>
        </w:rPr>
      </w:pPr>
      <w:r>
        <w:rPr>
          <w:rFonts w:hint="eastAsia" w:eastAsia="仿宋_GB2312"/>
          <w:sz w:val="30"/>
          <w:szCs w:val="30"/>
        </w:rPr>
        <w:t>9</w:t>
      </w:r>
      <w:r>
        <w:rPr>
          <w:rFonts w:eastAsia="仿宋_GB2312"/>
          <w:sz w:val="30"/>
          <w:szCs w:val="30"/>
        </w:rPr>
        <w:t>.</w:t>
      </w:r>
      <w:r>
        <w:rPr>
          <w:rFonts w:hint="eastAsia" w:eastAsia="仿宋_GB2312"/>
          <w:sz w:val="30"/>
          <w:szCs w:val="30"/>
        </w:rPr>
        <w:t>竞赛时间终了，选手应结束操作。将资料和工具整齐摆放在操作平台上，经工作人员清点后方可离开赛场，离开赛场时不得带走任何资料。</w:t>
      </w:r>
    </w:p>
    <w:p>
      <w:pPr>
        <w:spacing w:line="360" w:lineRule="auto"/>
        <w:ind w:firstLine="600" w:firstLineChars="200"/>
        <w:rPr>
          <w:rFonts w:eastAsia="黑体"/>
          <w:sz w:val="30"/>
          <w:szCs w:val="30"/>
        </w:rPr>
      </w:pPr>
      <w:r>
        <w:rPr>
          <w:rFonts w:hint="eastAsia" w:eastAsia="仿宋_GB2312"/>
          <w:sz w:val="30"/>
          <w:szCs w:val="30"/>
        </w:rPr>
        <w:t>1</w:t>
      </w:r>
      <w:r>
        <w:rPr>
          <w:rFonts w:eastAsia="仿宋_GB2312"/>
          <w:sz w:val="30"/>
          <w:szCs w:val="30"/>
        </w:rPr>
        <w:t>0.</w:t>
      </w:r>
      <w:r>
        <w:rPr>
          <w:rFonts w:hint="eastAsia" w:eastAsia="仿宋_GB2312"/>
          <w:sz w:val="30"/>
          <w:szCs w:val="30"/>
        </w:rPr>
        <w:t>在竞赛期间，未经执委会的批准，参赛选手不得接受其他单位和个人进行的与竞赛内容相关的采访。参赛选手不得将竞赛的相关信息私自公布。</w:t>
      </w: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十一、申诉与仲裁</w:t>
      </w:r>
    </w:p>
    <w:p>
      <w:pPr>
        <w:spacing w:line="560" w:lineRule="exact"/>
        <w:ind w:left="420" w:leftChars="200"/>
        <w:rPr>
          <w:rFonts w:ascii="华文楷体" w:hAnsi="华文楷体" w:eastAsia="华文楷体" w:cs="华文楷体"/>
          <w:sz w:val="30"/>
          <w:szCs w:val="30"/>
        </w:rPr>
      </w:pPr>
      <w:r>
        <w:rPr>
          <w:rFonts w:hint="eastAsia" w:ascii="华文楷体" w:hAnsi="华文楷体" w:eastAsia="华文楷体" w:cs="华文楷体"/>
          <w:sz w:val="30"/>
          <w:szCs w:val="30"/>
        </w:rPr>
        <w:t>（一）申诉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1.参赛队对不符合竞赛规定的设备、工具、软件，有失公正的评判、奖励，以及对工作人员的违规行为等均可提出申诉。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申诉应在竞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3.赛项仲裁工作组收到申诉报告后，应根据申诉事由进行审查，6小时内书面告知申诉处理结果。受理申诉的，须通知申诉方举办听证会的时间和地点。</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4.申诉人不得无故拒收处理结果，不允许采取过激行为，否则视为放弃申诉。</w:t>
      </w:r>
    </w:p>
    <w:p>
      <w:pPr>
        <w:snapToGrid w:val="0"/>
        <w:spacing w:line="560" w:lineRule="exact"/>
        <w:ind w:firstLine="600" w:firstLineChars="200"/>
        <w:rPr>
          <w:rFonts w:ascii="华文楷体" w:hAnsi="华文楷体" w:eastAsia="华文楷体" w:cs="华文楷体"/>
          <w:sz w:val="30"/>
          <w:szCs w:val="30"/>
        </w:rPr>
      </w:pPr>
      <w:r>
        <w:rPr>
          <w:rFonts w:hint="eastAsia" w:ascii="华文楷体" w:hAnsi="华文楷体" w:eastAsia="华文楷体" w:cs="华文楷体"/>
          <w:sz w:val="30"/>
          <w:szCs w:val="30"/>
        </w:rPr>
        <w:t>（二）仲裁</w:t>
      </w:r>
    </w:p>
    <w:p>
      <w:pPr>
        <w:snapToGrid w:val="0"/>
        <w:spacing w:line="54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赛项仲裁工作组接受由代表队提出的对裁判结果的申诉。赛项仲裁工作组在接到申诉后的2小时内组织复议，并及时反馈复议结果。赛项仲裁工作组的裁定为最终裁定。</w:t>
      </w:r>
    </w:p>
    <w:p>
      <w:pPr>
        <w:snapToGrid w:val="0"/>
        <w:spacing w:line="560" w:lineRule="exact"/>
        <w:ind w:firstLine="600" w:firstLineChars="200"/>
        <w:rPr>
          <w:rFonts w:ascii="仿宋_GB2312" w:hAnsi="仿宋_GB2312" w:eastAsia="仿宋_GB2312" w:cs="仿宋_GB2312"/>
          <w:color w:val="000000"/>
          <w:kern w:val="0"/>
          <w:sz w:val="30"/>
          <w:szCs w:val="30"/>
        </w:rPr>
      </w:pPr>
    </w:p>
    <w:p>
      <w:pPr>
        <w:snapToGrid w:val="0"/>
        <w:spacing w:line="540" w:lineRule="exact"/>
        <w:ind w:firstLine="602" w:firstLineChars="200"/>
        <w:rPr>
          <w:rFonts w:ascii="Arial Narrow" w:hAnsi="Arial Narrow" w:eastAsia="仿宋_GB2312" w:cs="Arial"/>
          <w:b/>
          <w:bCs/>
          <w:color w:val="000000"/>
          <w:sz w:val="30"/>
          <w:szCs w:val="30"/>
        </w:rPr>
      </w:pPr>
      <w:r>
        <w:rPr>
          <w:rFonts w:hint="eastAsia" w:ascii="Arial Narrow" w:hAnsi="Arial Narrow" w:eastAsia="仿宋_GB2312" w:cs="Arial"/>
          <w:b/>
          <w:bCs/>
          <w:color w:val="000000"/>
          <w:sz w:val="30"/>
          <w:szCs w:val="30"/>
        </w:rPr>
        <w:t>十二、大赛违规处理规定</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（一）发现参赛选手不符合报名规定条件的、冒名顶替或弄虚作假的，报经大赛组委会核实批准后，一律取消该选手参赛资格，追究有关领导责任并通报批评。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（二）参赛选手有下列情节之一的，其相应项成绩计为零分：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1.竞赛期间违规透漏选手或其单位任何信息者。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2.在竞赛现场内与他人（队）交头接耳，或有偷看、暗示等作弊行为者。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3.竞赛期间使用通讯工具与他人联系者。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4.裁判根据大赛要求宣布竞赛结束后，仍强行作答或操作者。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5.不服从裁判员的裁决，扰乱竞赛秩序，影响竞赛进程，情节恶劣者。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6.其他违反大赛规则不听劝告者。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（四）各代表队非参赛人员若违反大赛纪律，将视情节轻重给予警告或通报批评。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（五）对违反大赛纪律的裁判员、工作人员，由各项目裁判长报经组委会核实批准后，视情节轻重给予警告或取消其裁判资格并通报所在单位。</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（六）非大赛工作人员和参赛选手一律不得超越赛场指定的安全范围，不听劝阻造成后果者，追求其责任，并对其所在单位进行通报批评。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pPr>
        <w:snapToGrid w:val="0"/>
        <w:spacing w:line="560" w:lineRule="exact"/>
        <w:ind w:firstLine="600" w:firstLineChars="200"/>
        <w:rPr>
          <w:rFonts w:ascii="仿宋_GB2312" w:hAnsi="仿宋_GB2312" w:eastAsia="仿宋_GB2312" w:cs="仿宋_GB2312"/>
          <w:kern w:val="0"/>
          <w:sz w:val="30"/>
          <w:szCs w:val="30"/>
        </w:rPr>
      </w:pPr>
    </w:p>
    <w:p>
      <w:pPr>
        <w:snapToGrid w:val="0"/>
        <w:spacing w:line="560" w:lineRule="exact"/>
        <w:ind w:firstLine="600" w:firstLineChars="200"/>
        <w:rPr>
          <w:rFonts w:ascii="仿宋_GB2312" w:hAnsi="仿宋_GB2312" w:eastAsia="仿宋_GB2312" w:cs="仿宋_GB2312"/>
          <w:kern w:val="0"/>
          <w:sz w:val="30"/>
          <w:szCs w:val="30"/>
        </w:rPr>
      </w:pPr>
    </w:p>
    <w:p>
      <w:pPr>
        <w:snapToGrid w:val="0"/>
        <w:spacing w:line="560" w:lineRule="exact"/>
        <w:rPr>
          <w:b/>
        </w:rPr>
      </w:pPr>
      <w:r>
        <w:rPr>
          <w:rFonts w:hint="eastAsia" w:ascii="仿宋_GB2312" w:hAnsi="仿宋_GB2312" w:eastAsia="仿宋_GB2312" w:cs="仿宋_GB2312"/>
          <w:b/>
          <w:kern w:val="0"/>
          <w:sz w:val="30"/>
          <w:szCs w:val="30"/>
        </w:rPr>
        <w:t>附：样题</w:t>
      </w:r>
    </w:p>
    <w:sectPr>
      <w:footerReference r:id="rId4" w:type="first"/>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Verdana,ˎ̥">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1pt;width:4.6pt;mso-position-horizontal:center;mso-position-horizontal-relative:margin;mso-wrap-style:none;z-index:251660288;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FFbJcAJAgAAAQQAAA4AAAAAAAAAAQAgAAAAHwEAAGRy&#10;cy9lMm9Eb2MueG1sUEsFBgAAAAAGAAYAWQEAAJoFAAAAAA==&#10;">
              <v:fill on="f" focussize="0,0"/>
              <v:stroke on="f"/>
              <v:imagedata o:title=""/>
              <o:lock v:ext="edit" aspectratio="f"/>
              <v:textbox inset="0mm,0mm,0mm,0mm" style="mso-fit-shape-to-text:t;">
                <w:txbxContent>
                  <w:p>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mPaAEAMCAAAEBAAADgAAAAAAAAABACAAAAAeAQAAZHJzL2Uyb0Rv&#10;Yy54bWxQSwUGAAAAAAYABgBZAQAAkwUAAAAA&#10;">
              <v:fill on="f" focussize="0,0"/>
              <v:stroke on="f"/>
              <v:imagedata o:title=""/>
              <o:lock v:ext="edit" aspectratio="f"/>
              <v:textbox inset="0mm,0mm,0mm,0mm" style="mso-fit-shape-to-text:t;">
                <w:txbxContent>
                  <w:p>
                    <w:pPr>
                      <w:pStyle w:val="5"/>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6EE"/>
    <w:rsid w:val="000359DB"/>
    <w:rsid w:val="000431A4"/>
    <w:rsid w:val="000F4113"/>
    <w:rsid w:val="0012502D"/>
    <w:rsid w:val="001439F0"/>
    <w:rsid w:val="0017641F"/>
    <w:rsid w:val="001D71D3"/>
    <w:rsid w:val="00221DBF"/>
    <w:rsid w:val="002251A6"/>
    <w:rsid w:val="0025556E"/>
    <w:rsid w:val="00270534"/>
    <w:rsid w:val="00353335"/>
    <w:rsid w:val="003B4AB7"/>
    <w:rsid w:val="003F0DC4"/>
    <w:rsid w:val="00406DC0"/>
    <w:rsid w:val="004842FA"/>
    <w:rsid w:val="004C722E"/>
    <w:rsid w:val="00554388"/>
    <w:rsid w:val="00570AB4"/>
    <w:rsid w:val="00603D6F"/>
    <w:rsid w:val="00630122"/>
    <w:rsid w:val="00661FED"/>
    <w:rsid w:val="0067018E"/>
    <w:rsid w:val="006B1672"/>
    <w:rsid w:val="006D4E0A"/>
    <w:rsid w:val="00773F16"/>
    <w:rsid w:val="00791DB6"/>
    <w:rsid w:val="007B01C5"/>
    <w:rsid w:val="008054A4"/>
    <w:rsid w:val="00846B1A"/>
    <w:rsid w:val="008766EE"/>
    <w:rsid w:val="008A6F50"/>
    <w:rsid w:val="008E524D"/>
    <w:rsid w:val="008F010A"/>
    <w:rsid w:val="009228CE"/>
    <w:rsid w:val="00990A87"/>
    <w:rsid w:val="009A4A35"/>
    <w:rsid w:val="009B026C"/>
    <w:rsid w:val="009F1ED4"/>
    <w:rsid w:val="00A633CD"/>
    <w:rsid w:val="00AE0B53"/>
    <w:rsid w:val="00AE316D"/>
    <w:rsid w:val="00AF4F62"/>
    <w:rsid w:val="00B717DA"/>
    <w:rsid w:val="00C60B4F"/>
    <w:rsid w:val="00CC0560"/>
    <w:rsid w:val="00CE3E33"/>
    <w:rsid w:val="00CF068E"/>
    <w:rsid w:val="00D17E4D"/>
    <w:rsid w:val="00D457E6"/>
    <w:rsid w:val="00DB0BF4"/>
    <w:rsid w:val="00DC11B4"/>
    <w:rsid w:val="00DD03C1"/>
    <w:rsid w:val="00DD1CAB"/>
    <w:rsid w:val="00DF5C0B"/>
    <w:rsid w:val="00E42E3B"/>
    <w:rsid w:val="00E71BE7"/>
    <w:rsid w:val="00E735CD"/>
    <w:rsid w:val="00EA07D3"/>
    <w:rsid w:val="00F00A74"/>
    <w:rsid w:val="00F76572"/>
    <w:rsid w:val="00FE4A80"/>
    <w:rsid w:val="00FE59E1"/>
    <w:rsid w:val="39987C3E"/>
    <w:rsid w:val="39EE3028"/>
    <w:rsid w:val="47A11473"/>
    <w:rsid w:val="6B604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8"/>
    <w:semiHidden/>
    <w:unhideWhenUsed/>
    <w:qFormat/>
    <w:uiPriority w:val="0"/>
    <w:pPr>
      <w:keepNext/>
      <w:keepLines/>
      <w:spacing w:before="260" w:after="260" w:line="416" w:lineRule="auto"/>
      <w:outlineLvl w:val="1"/>
    </w:pPr>
    <w:rPr>
      <w:rFonts w:ascii="Cambria" w:hAnsi="Cambria"/>
      <w:b/>
      <w:bCs/>
      <w:sz w:val="32"/>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qFormat/>
    <w:uiPriority w:val="99"/>
    <w:rPr>
      <w:sz w:val="20"/>
      <w:szCs w:val="20"/>
    </w:rPr>
  </w:style>
  <w:style w:type="paragraph" w:styleId="4">
    <w:name w:val="Balloon Text"/>
    <w:basedOn w:val="1"/>
    <w:link w:val="21"/>
    <w:semiHidden/>
    <w:unhideWhenUsed/>
    <w:qFormat/>
    <w:uiPriority w:val="99"/>
    <w:rPr>
      <w:sz w:val="18"/>
      <w:szCs w:val="18"/>
    </w:rPr>
  </w:style>
  <w:style w:type="paragraph" w:styleId="5">
    <w:name w:val="footer"/>
    <w:basedOn w:val="1"/>
    <w:link w:val="13"/>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uiPriority w:val="99"/>
    <w:pPr>
      <w:jc w:val="left"/>
    </w:pPr>
    <w:rPr>
      <w:b/>
      <w:bCs/>
      <w:sz w:val="21"/>
      <w:szCs w:val="24"/>
    </w:rPr>
  </w:style>
  <w:style w:type="character" w:styleId="10">
    <w:name w:val="annotation reference"/>
    <w:semiHidden/>
    <w:qFormat/>
    <w:uiPriority w:val="99"/>
    <w:rPr>
      <w:sz w:val="21"/>
      <w:szCs w:val="21"/>
    </w:rPr>
  </w:style>
  <w:style w:type="character" w:customStyle="1" w:styleId="11">
    <w:name w:val="页脚 Char"/>
    <w:qFormat/>
    <w:uiPriority w:val="0"/>
    <w:rPr>
      <w:sz w:val="18"/>
      <w:szCs w:val="18"/>
    </w:rPr>
  </w:style>
  <w:style w:type="character" w:customStyle="1" w:styleId="12">
    <w:name w:val="批注文字 Char"/>
    <w:basedOn w:val="9"/>
    <w:link w:val="3"/>
    <w:qFormat/>
    <w:uiPriority w:val="99"/>
    <w:rPr>
      <w:rFonts w:ascii="Calibri" w:hAnsi="Calibri" w:eastAsia="宋体" w:cs="Times New Roman"/>
      <w:sz w:val="20"/>
      <w:szCs w:val="20"/>
    </w:rPr>
  </w:style>
  <w:style w:type="character" w:customStyle="1" w:styleId="13">
    <w:name w:val="页脚 Char1"/>
    <w:basedOn w:val="9"/>
    <w:link w:val="5"/>
    <w:semiHidden/>
    <w:qFormat/>
    <w:uiPriority w:val="99"/>
    <w:rPr>
      <w:rFonts w:ascii="Calibri" w:hAnsi="Calibri" w:eastAsia="宋体" w:cs="Times New Roman"/>
      <w:sz w:val="18"/>
      <w:szCs w:val="18"/>
    </w:rPr>
  </w:style>
  <w:style w:type="character" w:customStyle="1" w:styleId="14">
    <w:name w:val="页眉 Char"/>
    <w:basedOn w:val="9"/>
    <w:link w:val="6"/>
    <w:qFormat/>
    <w:uiPriority w:val="99"/>
    <w:rPr>
      <w:rFonts w:ascii="Calibri" w:hAnsi="Calibri" w:eastAsia="宋体" w:cs="Times New Roman"/>
      <w:sz w:val="18"/>
      <w:szCs w:val="18"/>
    </w:rPr>
  </w:style>
  <w:style w:type="paragraph" w:styleId="15">
    <w:name w:val="List Paragraph"/>
    <w:basedOn w:val="1"/>
    <w:link w:val="17"/>
    <w:qFormat/>
    <w:uiPriority w:val="34"/>
    <w:pPr>
      <w:ind w:firstLine="420" w:firstLineChars="200"/>
    </w:pPr>
  </w:style>
  <w:style w:type="paragraph" w:customStyle="1" w:styleId="16">
    <w:name w:val="样式 黑体 小初 居中 首行缩进:  2 字符"/>
    <w:basedOn w:val="1"/>
    <w:qFormat/>
    <w:uiPriority w:val="0"/>
    <w:pPr>
      <w:jc w:val="center"/>
    </w:pPr>
    <w:rPr>
      <w:rFonts w:ascii="黑体" w:eastAsia="黑体" w:cs="宋体"/>
      <w:sz w:val="72"/>
      <w:szCs w:val="20"/>
    </w:rPr>
  </w:style>
  <w:style w:type="character" w:customStyle="1" w:styleId="17">
    <w:name w:val="列出段落 Char"/>
    <w:link w:val="15"/>
    <w:qFormat/>
    <w:uiPriority w:val="34"/>
    <w:rPr>
      <w:rFonts w:ascii="Calibri" w:hAnsi="Calibri"/>
      <w:kern w:val="2"/>
      <w:sz w:val="21"/>
      <w:szCs w:val="24"/>
    </w:rPr>
  </w:style>
  <w:style w:type="character" w:customStyle="1" w:styleId="18">
    <w:name w:val="标题 2 Char"/>
    <w:basedOn w:val="9"/>
    <w:link w:val="2"/>
    <w:semiHidden/>
    <w:qFormat/>
    <w:uiPriority w:val="0"/>
    <w:rPr>
      <w:rFonts w:ascii="Cambria" w:hAnsi="Cambria"/>
      <w:b/>
      <w:bCs/>
      <w:kern w:val="2"/>
      <w:sz w:val="32"/>
      <w:szCs w:val="32"/>
    </w:rPr>
  </w:style>
  <w:style w:type="paragraph" w:customStyle="1" w:styleId="19">
    <w:name w:val="正文 A"/>
    <w:uiPriority w:val="0"/>
    <w:pPr>
      <w:spacing w:after="200"/>
    </w:pPr>
    <w:rPr>
      <w:rFonts w:ascii="Tahoma" w:hAnsi="Tahoma" w:eastAsia="Arial Unicode MS" w:cs="Arial Unicode MS"/>
      <w:color w:val="000000"/>
      <w:sz w:val="22"/>
      <w:szCs w:val="22"/>
      <w:u w:color="000000"/>
      <w:lang w:val="en-US" w:eastAsia="zh-CN" w:bidi="ar-SA"/>
    </w:rPr>
  </w:style>
  <w:style w:type="character" w:customStyle="1" w:styleId="20">
    <w:name w:val="批注主题 Char"/>
    <w:basedOn w:val="12"/>
    <w:link w:val="7"/>
    <w:semiHidden/>
    <w:qFormat/>
    <w:uiPriority w:val="99"/>
    <w:rPr>
      <w:rFonts w:ascii="Calibri" w:hAnsi="Calibri" w:eastAsia="宋体" w:cs="Times New Roman"/>
      <w:b/>
      <w:bCs/>
      <w:kern w:val="2"/>
      <w:sz w:val="21"/>
      <w:szCs w:val="24"/>
    </w:rPr>
  </w:style>
  <w:style w:type="character" w:customStyle="1" w:styleId="21">
    <w:name w:val="批注框文本 Char"/>
    <w:basedOn w:val="9"/>
    <w:link w:val="4"/>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F61606-59FB-4DB4-843D-4CDE78FDD42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17</Pages>
  <Words>1269</Words>
  <Characters>7238</Characters>
  <Lines>60</Lines>
  <Paragraphs>16</Paragraphs>
  <TotalTime>4</TotalTime>
  <ScaleCrop>false</ScaleCrop>
  <LinksUpToDate>false</LinksUpToDate>
  <CharactersWithSpaces>8491</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2020-10-14T05:21:00Z</dcterms:created>
  <dc:creator>Administrator</dc:creator>
  <cp:lastModifiedBy>侯世亮</cp:lastModifiedBy>
  <cp:lastPrinted>2019-07-15T02:35:00Z</cp:lastPrinted>
  <dcterms:modified xsi:type="dcterms:W3CDTF">2020-10-15T07:43:38Z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